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B6E" w:rsidRPr="008C6C2E" w:rsidRDefault="008D2B6E" w:rsidP="008D2B6E">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MUNICIPIO DE MEDELLÍN</w:t>
      </w:r>
    </w:p>
    <w:p w:rsidR="008D2B6E" w:rsidRPr="008C6C2E" w:rsidRDefault="008D2B6E" w:rsidP="008D2B6E">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SECRETARÍA DE SEGURIDAD Y CONVIVENCIA</w:t>
      </w:r>
    </w:p>
    <w:p w:rsidR="008D2B6E" w:rsidRPr="008C6C2E" w:rsidRDefault="008D2B6E" w:rsidP="008D2B6E">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SUBSECRETARÍA DE GOBIERNO LOCAL Y CONVIVENCIA</w:t>
      </w:r>
    </w:p>
    <w:p w:rsidR="008D2B6E" w:rsidRPr="008C6C2E" w:rsidRDefault="008D2B6E" w:rsidP="008D2B6E">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 xml:space="preserve">INSPECCIÓN </w:t>
      </w:r>
      <w:r>
        <w:rPr>
          <w:rFonts w:ascii="Arial" w:eastAsia="Times New Roman" w:hAnsi="Arial" w:cs="Arial"/>
          <w:b/>
          <w:bCs/>
          <w:sz w:val="22"/>
          <w:szCs w:val="22"/>
          <w:lang w:val="es-CO" w:eastAsia="es-MX"/>
        </w:rPr>
        <w:t>DE DESCONGESTION</w:t>
      </w:r>
      <w:r w:rsidRPr="008C6C2E">
        <w:rPr>
          <w:rFonts w:ascii="Arial" w:eastAsia="Times New Roman" w:hAnsi="Arial" w:cs="Arial"/>
          <w:b/>
          <w:bCs/>
          <w:sz w:val="22"/>
          <w:szCs w:val="22"/>
          <w:lang w:val="es-CO" w:eastAsia="es-MX"/>
        </w:rPr>
        <w:t xml:space="preserve"> DE POLICÍA URBANA DE PRIMERA CATEGORÍA</w:t>
      </w:r>
    </w:p>
    <w:p w:rsidR="008D2B6E" w:rsidRPr="00D96E8E" w:rsidRDefault="008D2B6E" w:rsidP="008D2B6E">
      <w:pPr>
        <w:jc w:val="center"/>
        <w:rPr>
          <w:rFonts w:ascii="Arial" w:eastAsia="Times New Roman" w:hAnsi="Arial" w:cs="Arial"/>
          <w:b/>
          <w:bCs/>
          <w:color w:val="262626" w:themeColor="text1" w:themeTint="D9"/>
          <w:sz w:val="22"/>
          <w:szCs w:val="22"/>
          <w:lang w:val="es-CO" w:eastAsia="es-MX"/>
        </w:rPr>
      </w:pPr>
      <w:r w:rsidRPr="008C6C2E">
        <w:rPr>
          <w:rFonts w:ascii="Arial" w:eastAsia="Times New Roman" w:hAnsi="Arial" w:cs="Arial"/>
          <w:b/>
          <w:bCs/>
          <w:sz w:val="22"/>
          <w:szCs w:val="22"/>
          <w:lang w:val="es-CO" w:eastAsia="es-MX"/>
        </w:rPr>
        <w:t xml:space="preserve">MEDELLÍN, </w:t>
      </w:r>
      <w:r>
        <w:rPr>
          <w:rFonts w:ascii="Arial" w:eastAsia="Times New Roman" w:hAnsi="Arial" w:cs="Arial"/>
          <w:b/>
          <w:bCs/>
          <w:sz w:val="22"/>
          <w:szCs w:val="22"/>
          <w:lang w:val="es-CO" w:eastAsia="es-MX"/>
        </w:rPr>
        <w:t>VEINTIDOS</w:t>
      </w:r>
      <w:r w:rsidRPr="00667755">
        <w:rPr>
          <w:rFonts w:ascii="Arial" w:eastAsia="Times New Roman" w:hAnsi="Arial" w:cs="Arial"/>
          <w:b/>
          <w:bCs/>
          <w:sz w:val="22"/>
          <w:szCs w:val="22"/>
          <w:lang w:val="es-CO" w:eastAsia="es-MX"/>
        </w:rPr>
        <w:t xml:space="preserve"> </w:t>
      </w:r>
      <w:r>
        <w:rPr>
          <w:rFonts w:ascii="Arial" w:eastAsia="Times New Roman" w:hAnsi="Arial" w:cs="Arial"/>
          <w:b/>
          <w:bCs/>
          <w:color w:val="262626" w:themeColor="text1" w:themeTint="D9"/>
          <w:sz w:val="22"/>
          <w:szCs w:val="22"/>
          <w:lang w:val="es-CO" w:eastAsia="es-MX"/>
        </w:rPr>
        <w:t>(22</w:t>
      </w:r>
      <w:r w:rsidRPr="00667755">
        <w:rPr>
          <w:rFonts w:ascii="Arial" w:eastAsia="Times New Roman" w:hAnsi="Arial" w:cs="Arial"/>
          <w:b/>
          <w:bCs/>
          <w:color w:val="262626" w:themeColor="text1" w:themeTint="D9"/>
          <w:sz w:val="22"/>
          <w:szCs w:val="22"/>
          <w:lang w:val="es-CO" w:eastAsia="es-MX"/>
        </w:rPr>
        <w:t xml:space="preserve">) DE </w:t>
      </w:r>
      <w:r>
        <w:rPr>
          <w:rFonts w:ascii="Arial" w:eastAsia="Times New Roman" w:hAnsi="Arial" w:cs="Arial"/>
          <w:b/>
          <w:bCs/>
          <w:color w:val="262626" w:themeColor="text1" w:themeTint="D9"/>
          <w:sz w:val="22"/>
          <w:szCs w:val="22"/>
          <w:lang w:val="es-CO" w:eastAsia="es-MX"/>
        </w:rPr>
        <w:t>ABRIL</w:t>
      </w:r>
      <w:r w:rsidRPr="008C6C2E">
        <w:rPr>
          <w:rFonts w:ascii="Arial" w:eastAsia="Times New Roman" w:hAnsi="Arial" w:cs="Arial"/>
          <w:b/>
          <w:bCs/>
          <w:color w:val="262626" w:themeColor="text1" w:themeTint="D9"/>
          <w:sz w:val="22"/>
          <w:szCs w:val="22"/>
          <w:lang w:val="es-CO" w:eastAsia="es-MX"/>
        </w:rPr>
        <w:t xml:space="preserve"> DE DOS MIL VEINTI</w:t>
      </w:r>
      <w:r>
        <w:rPr>
          <w:rFonts w:ascii="Arial" w:eastAsia="Times New Roman" w:hAnsi="Arial" w:cs="Arial"/>
          <w:b/>
          <w:bCs/>
          <w:color w:val="262626" w:themeColor="text1" w:themeTint="D9"/>
          <w:sz w:val="22"/>
          <w:szCs w:val="22"/>
          <w:lang w:val="es-CO" w:eastAsia="es-MX"/>
        </w:rPr>
        <w:t>CUATRO</w:t>
      </w:r>
      <w:r w:rsidRPr="008C6C2E">
        <w:rPr>
          <w:rFonts w:ascii="Arial" w:eastAsia="Times New Roman" w:hAnsi="Arial" w:cs="Arial"/>
          <w:b/>
          <w:bCs/>
          <w:color w:val="262626" w:themeColor="text1" w:themeTint="D9"/>
          <w:sz w:val="22"/>
          <w:szCs w:val="22"/>
          <w:lang w:val="es-CO" w:eastAsia="es-MX"/>
        </w:rPr>
        <w:t xml:space="preserve"> (202</w:t>
      </w:r>
      <w:r>
        <w:rPr>
          <w:rFonts w:ascii="Arial" w:eastAsia="Times New Roman" w:hAnsi="Arial" w:cs="Arial"/>
          <w:b/>
          <w:bCs/>
          <w:color w:val="262626" w:themeColor="text1" w:themeTint="D9"/>
          <w:sz w:val="22"/>
          <w:szCs w:val="22"/>
          <w:lang w:val="es-CO" w:eastAsia="es-MX"/>
        </w:rPr>
        <w:t>4</w:t>
      </w:r>
      <w:r w:rsidRPr="008C6C2E">
        <w:rPr>
          <w:rFonts w:ascii="Arial" w:eastAsia="Times New Roman" w:hAnsi="Arial" w:cs="Arial"/>
          <w:b/>
          <w:bCs/>
          <w:color w:val="262626" w:themeColor="text1" w:themeTint="D9"/>
          <w:sz w:val="22"/>
          <w:szCs w:val="22"/>
          <w:lang w:val="es-CO" w:eastAsia="es-MX"/>
        </w:rPr>
        <w:t>)</w:t>
      </w:r>
    </w:p>
    <w:p w:rsidR="008D2B6E" w:rsidRPr="008C6C2E" w:rsidRDefault="008D2B6E" w:rsidP="008D2B6E">
      <w:pPr>
        <w:widowControl w:val="0"/>
        <w:jc w:val="center"/>
        <w:rPr>
          <w:rFonts w:ascii="Arial" w:hAnsi="Arial" w:cs="Arial"/>
          <w:b/>
          <w:snapToGrid w:val="0"/>
          <w:sz w:val="22"/>
          <w:szCs w:val="22"/>
          <w:lang w:val="es-CO"/>
        </w:rPr>
      </w:pPr>
      <w:r w:rsidRPr="008C6C2E">
        <w:rPr>
          <w:rFonts w:ascii="Arial" w:hAnsi="Arial" w:cs="Arial"/>
          <w:b/>
          <w:snapToGrid w:val="0"/>
          <w:sz w:val="22"/>
          <w:szCs w:val="22"/>
          <w:lang w:val="es-CO"/>
        </w:rPr>
        <w:t>POR MEDIO DE</w:t>
      </w:r>
      <w:r>
        <w:rPr>
          <w:rFonts w:ascii="Arial" w:hAnsi="Arial" w:cs="Arial"/>
          <w:b/>
          <w:snapToGrid w:val="0"/>
          <w:sz w:val="22"/>
          <w:szCs w:val="22"/>
          <w:lang w:val="es-CO"/>
        </w:rPr>
        <w:t xml:space="preserve"> </w:t>
      </w:r>
      <w:r w:rsidRPr="008C6C2E">
        <w:rPr>
          <w:rFonts w:ascii="Arial" w:hAnsi="Arial" w:cs="Arial"/>
          <w:b/>
          <w:snapToGrid w:val="0"/>
          <w:sz w:val="22"/>
          <w:szCs w:val="22"/>
          <w:lang w:val="es-CO"/>
        </w:rPr>
        <w:t>L</w:t>
      </w:r>
      <w:r>
        <w:rPr>
          <w:rFonts w:ascii="Arial" w:hAnsi="Arial" w:cs="Arial"/>
          <w:b/>
          <w:snapToGrid w:val="0"/>
          <w:sz w:val="22"/>
          <w:szCs w:val="22"/>
          <w:lang w:val="es-CO"/>
        </w:rPr>
        <w:t>A</w:t>
      </w:r>
      <w:r w:rsidRPr="008C6C2E">
        <w:rPr>
          <w:rFonts w:ascii="Arial" w:hAnsi="Arial" w:cs="Arial"/>
          <w:b/>
          <w:snapToGrid w:val="0"/>
          <w:sz w:val="22"/>
          <w:szCs w:val="22"/>
          <w:lang w:val="es-CO"/>
        </w:rPr>
        <w:t xml:space="preserve"> CUAL SE DECRETA LA CADUCIDAD DEL TRÁMITE DEL PROCESO VERBAL ABREVIADO </w:t>
      </w:r>
    </w:p>
    <w:p w:rsidR="008D2B6E" w:rsidRPr="008C6C2E" w:rsidRDefault="008D2B6E" w:rsidP="008D2B6E">
      <w:pPr>
        <w:widowControl w:val="0"/>
        <w:jc w:val="center"/>
        <w:rPr>
          <w:rFonts w:ascii="Arial" w:hAnsi="Arial" w:cs="Arial"/>
          <w:b/>
          <w:snapToGrid w:val="0"/>
          <w:sz w:val="22"/>
          <w:szCs w:val="22"/>
          <w:lang w:val="es-CO"/>
        </w:rPr>
      </w:pPr>
      <w:r>
        <w:rPr>
          <w:rFonts w:ascii="Arial" w:hAnsi="Arial" w:cs="Arial"/>
          <w:b/>
          <w:color w:val="262626" w:themeColor="text1" w:themeTint="D9"/>
          <w:sz w:val="22"/>
          <w:szCs w:val="22"/>
          <w:lang w:val="es-CO"/>
        </w:rPr>
        <w:t>RESOLUCION</w:t>
      </w:r>
      <w:r w:rsidRPr="008C6C2E">
        <w:rPr>
          <w:rFonts w:ascii="Arial" w:hAnsi="Arial" w:cs="Arial"/>
          <w:b/>
          <w:color w:val="262626" w:themeColor="text1" w:themeTint="D9"/>
          <w:sz w:val="22"/>
          <w:szCs w:val="22"/>
          <w:lang w:val="es-CO"/>
        </w:rPr>
        <w:t xml:space="preserve"> No. </w:t>
      </w:r>
      <w:r>
        <w:rPr>
          <w:rFonts w:ascii="Arial" w:hAnsi="Arial" w:cs="Arial"/>
          <w:b/>
          <w:color w:val="262626" w:themeColor="text1" w:themeTint="D9"/>
          <w:sz w:val="22"/>
          <w:szCs w:val="22"/>
          <w:lang w:val="es-CO"/>
        </w:rPr>
        <w:t>053</w:t>
      </w:r>
    </w:p>
    <w:tbl>
      <w:tblPr>
        <w:tblpPr w:leftFromText="141" w:rightFromText="141" w:vertAnchor="text" w:horzAnchor="margin" w:tblpX="-147" w:tblpY="81"/>
        <w:tblW w:w="8784" w:type="dxa"/>
        <w:tblCellMar>
          <w:left w:w="70" w:type="dxa"/>
          <w:right w:w="70" w:type="dxa"/>
        </w:tblCellMar>
        <w:tblLook w:val="04A0" w:firstRow="1" w:lastRow="0" w:firstColumn="1" w:lastColumn="0" w:noHBand="0" w:noVBand="1"/>
      </w:tblPr>
      <w:tblGrid>
        <w:gridCol w:w="3256"/>
        <w:gridCol w:w="5528"/>
      </w:tblGrid>
      <w:tr w:rsidR="008D2B6E" w:rsidRPr="008C6C2E" w:rsidTr="00F27919">
        <w:trPr>
          <w:trHeight w:val="320"/>
        </w:trPr>
        <w:tc>
          <w:tcPr>
            <w:tcW w:w="32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2B6E" w:rsidRPr="008C6C2E" w:rsidRDefault="008D2B6E" w:rsidP="00F27919">
            <w:pPr>
              <w:rPr>
                <w:rFonts w:ascii="Arial" w:eastAsia="Times New Roman" w:hAnsi="Arial" w:cs="Arial"/>
                <w:b/>
                <w:color w:val="000000"/>
                <w:sz w:val="22"/>
                <w:szCs w:val="22"/>
                <w:lang w:val="es-CO"/>
              </w:rPr>
            </w:pPr>
            <w:r w:rsidRPr="008C6C2E">
              <w:rPr>
                <w:rFonts w:ascii="Arial" w:hAnsi="Arial" w:cs="Arial"/>
                <w:b/>
                <w:color w:val="000000"/>
                <w:sz w:val="22"/>
                <w:szCs w:val="22"/>
                <w:lang w:val="es-CO"/>
              </w:rPr>
              <w:t xml:space="preserve">RADICADO: </w:t>
            </w:r>
          </w:p>
        </w:tc>
        <w:tc>
          <w:tcPr>
            <w:tcW w:w="5528" w:type="dxa"/>
            <w:tcBorders>
              <w:top w:val="single" w:sz="4" w:space="0" w:color="auto"/>
              <w:left w:val="nil"/>
              <w:bottom w:val="single" w:sz="4" w:space="0" w:color="auto"/>
              <w:right w:val="single" w:sz="4" w:space="0" w:color="auto"/>
            </w:tcBorders>
            <w:shd w:val="clear" w:color="auto" w:fill="FFFFFF"/>
            <w:noWrap/>
            <w:vAlign w:val="bottom"/>
            <w:hideMark/>
          </w:tcPr>
          <w:p w:rsidR="008D2B6E" w:rsidRPr="00667755" w:rsidRDefault="008D2B6E" w:rsidP="00F27919">
            <w:pPr>
              <w:rPr>
                <w:rFonts w:ascii="Arial" w:eastAsia="Times New Roman" w:hAnsi="Arial" w:cs="Arial"/>
                <w:b/>
                <w:color w:val="000000"/>
                <w:sz w:val="22"/>
                <w:szCs w:val="22"/>
                <w:lang w:val="es-CO" w:eastAsia="es-CO"/>
              </w:rPr>
            </w:pPr>
            <w:r>
              <w:rPr>
                <w:rFonts w:ascii="Arial" w:hAnsi="Arial" w:cs="Arial"/>
                <w:b/>
                <w:sz w:val="22"/>
                <w:szCs w:val="22"/>
                <w:lang w:val="es-CO"/>
              </w:rPr>
              <w:t>2-17751-20</w:t>
            </w:r>
          </w:p>
        </w:tc>
      </w:tr>
      <w:tr w:rsidR="008D2B6E"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8D2B6E" w:rsidRPr="008C6C2E" w:rsidRDefault="008D2B6E" w:rsidP="00F27919">
            <w:pPr>
              <w:rPr>
                <w:rFonts w:ascii="Arial" w:eastAsia="Times New Roman" w:hAnsi="Arial" w:cs="Arial"/>
                <w:b/>
                <w:bCs/>
                <w:sz w:val="22"/>
                <w:szCs w:val="22"/>
                <w:lang w:val="es-CO"/>
              </w:rPr>
            </w:pPr>
            <w:r w:rsidRPr="008C6C2E">
              <w:rPr>
                <w:rFonts w:ascii="Arial" w:hAnsi="Arial" w:cs="Arial"/>
                <w:b/>
                <w:bCs/>
                <w:sz w:val="22"/>
                <w:szCs w:val="22"/>
                <w:lang w:val="es-CO"/>
              </w:rPr>
              <w:t>INICIADOR:</w:t>
            </w:r>
          </w:p>
        </w:tc>
        <w:tc>
          <w:tcPr>
            <w:tcW w:w="5528" w:type="dxa"/>
            <w:tcBorders>
              <w:top w:val="nil"/>
              <w:left w:val="nil"/>
              <w:bottom w:val="single" w:sz="4" w:space="0" w:color="auto"/>
              <w:right w:val="single" w:sz="4" w:space="0" w:color="auto"/>
            </w:tcBorders>
            <w:shd w:val="clear" w:color="auto" w:fill="FFFFFF"/>
            <w:noWrap/>
            <w:vAlign w:val="center"/>
            <w:hideMark/>
          </w:tcPr>
          <w:p w:rsidR="008D2B6E" w:rsidRPr="00667755" w:rsidRDefault="008D2B6E" w:rsidP="00F27919">
            <w:pPr>
              <w:rPr>
                <w:rFonts w:ascii="Arial" w:hAnsi="Arial" w:cs="Arial"/>
                <w:b/>
                <w:sz w:val="22"/>
                <w:szCs w:val="22"/>
                <w:lang w:val="es-CO"/>
              </w:rPr>
            </w:pPr>
            <w:r>
              <w:rPr>
                <w:rFonts w:ascii="Arial" w:hAnsi="Arial" w:cs="Arial"/>
                <w:b/>
                <w:sz w:val="22"/>
                <w:szCs w:val="22"/>
                <w:lang w:val="es-CO"/>
              </w:rPr>
              <w:t>INFROME TECNICO SGCT</w:t>
            </w:r>
          </w:p>
        </w:tc>
      </w:tr>
      <w:tr w:rsidR="008D2B6E" w:rsidRPr="008C6C2E" w:rsidTr="00F27919">
        <w:trPr>
          <w:trHeight w:val="335"/>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8D2B6E" w:rsidRPr="008C6C2E" w:rsidRDefault="008D2B6E" w:rsidP="00F27919">
            <w:pPr>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PRESUNTO INFRACTOR: </w:t>
            </w:r>
          </w:p>
        </w:tc>
        <w:tc>
          <w:tcPr>
            <w:tcW w:w="5528" w:type="dxa"/>
            <w:tcBorders>
              <w:top w:val="nil"/>
              <w:left w:val="nil"/>
              <w:bottom w:val="single" w:sz="4" w:space="0" w:color="auto"/>
              <w:right w:val="single" w:sz="4" w:space="0" w:color="auto"/>
            </w:tcBorders>
            <w:shd w:val="clear" w:color="auto" w:fill="FFFFFF"/>
            <w:vAlign w:val="center"/>
            <w:hideMark/>
          </w:tcPr>
          <w:p w:rsidR="008D2B6E" w:rsidRPr="00667755" w:rsidRDefault="008D2B6E" w:rsidP="00F27919">
            <w:pPr>
              <w:rPr>
                <w:rFonts w:ascii="Arial" w:hAnsi="Arial" w:cs="Arial"/>
                <w:b/>
                <w:color w:val="000000"/>
                <w:sz w:val="22"/>
                <w:szCs w:val="22"/>
                <w:lang w:val="es-CO"/>
              </w:rPr>
            </w:pPr>
            <w:r>
              <w:rPr>
                <w:rFonts w:ascii="Arial" w:hAnsi="Arial" w:cs="Arial"/>
                <w:b/>
                <w:sz w:val="22"/>
                <w:szCs w:val="22"/>
                <w:lang w:val="es-CO"/>
              </w:rPr>
              <w:t>ESTIVEN ANDRES POSADA</w:t>
            </w:r>
          </w:p>
        </w:tc>
      </w:tr>
      <w:tr w:rsidR="008D2B6E"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8D2B6E" w:rsidRPr="008C6C2E" w:rsidRDefault="008D2B6E" w:rsidP="00F27919">
            <w:pPr>
              <w:jc w:val="both"/>
              <w:rPr>
                <w:rFonts w:ascii="Arial" w:hAnsi="Arial" w:cs="Arial"/>
                <w:b/>
                <w:bCs/>
                <w:color w:val="000000"/>
                <w:sz w:val="22"/>
                <w:szCs w:val="22"/>
                <w:lang w:val="es-CO"/>
              </w:rPr>
            </w:pPr>
            <w:r w:rsidRPr="008C6C2E">
              <w:rPr>
                <w:rFonts w:ascii="Arial" w:hAnsi="Arial" w:cs="Arial"/>
                <w:b/>
                <w:bCs/>
                <w:color w:val="000000"/>
                <w:sz w:val="22"/>
                <w:szCs w:val="22"/>
                <w:lang w:val="es-CO"/>
              </w:rPr>
              <w:t>DIRECCIÓN:</w:t>
            </w:r>
          </w:p>
        </w:tc>
        <w:tc>
          <w:tcPr>
            <w:tcW w:w="5528" w:type="dxa"/>
            <w:tcBorders>
              <w:top w:val="nil"/>
              <w:left w:val="nil"/>
              <w:bottom w:val="single" w:sz="4" w:space="0" w:color="auto"/>
              <w:right w:val="single" w:sz="4" w:space="0" w:color="auto"/>
            </w:tcBorders>
            <w:shd w:val="clear" w:color="auto" w:fill="FFFFFF"/>
            <w:noWrap/>
            <w:vAlign w:val="center"/>
          </w:tcPr>
          <w:p w:rsidR="008D2B6E" w:rsidRPr="00667755" w:rsidRDefault="008D2B6E" w:rsidP="00F27919">
            <w:pPr>
              <w:rPr>
                <w:rFonts w:ascii="Arial" w:hAnsi="Arial" w:cs="Arial"/>
                <w:b/>
                <w:sz w:val="22"/>
                <w:szCs w:val="22"/>
                <w:lang w:val="es-CO"/>
              </w:rPr>
            </w:pPr>
            <w:r>
              <w:rPr>
                <w:rFonts w:ascii="Arial" w:hAnsi="Arial" w:cs="Arial"/>
                <w:b/>
                <w:sz w:val="22"/>
                <w:szCs w:val="22"/>
                <w:lang w:val="es-CO"/>
              </w:rPr>
              <w:t>CARRERA 39 No. 82 - 142</w:t>
            </w:r>
            <w:r w:rsidRPr="00667755">
              <w:rPr>
                <w:rFonts w:ascii="Arial" w:hAnsi="Arial" w:cs="Arial"/>
                <w:b/>
                <w:sz w:val="22"/>
                <w:szCs w:val="22"/>
                <w:lang w:val="es-CO"/>
              </w:rPr>
              <w:t xml:space="preserve"> </w:t>
            </w:r>
          </w:p>
        </w:tc>
      </w:tr>
      <w:tr w:rsidR="008D2B6E"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8D2B6E" w:rsidRPr="008C6C2E" w:rsidRDefault="008D2B6E" w:rsidP="00F27919">
            <w:pPr>
              <w:jc w:val="both"/>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PRESUNTA INFRACCIÓN: </w:t>
            </w:r>
          </w:p>
        </w:tc>
        <w:tc>
          <w:tcPr>
            <w:tcW w:w="5528" w:type="dxa"/>
            <w:tcBorders>
              <w:top w:val="nil"/>
              <w:left w:val="nil"/>
              <w:bottom w:val="single" w:sz="4" w:space="0" w:color="auto"/>
              <w:right w:val="single" w:sz="4" w:space="0" w:color="auto"/>
            </w:tcBorders>
            <w:shd w:val="clear" w:color="auto" w:fill="FFFFFF"/>
            <w:noWrap/>
            <w:vAlign w:val="center"/>
          </w:tcPr>
          <w:p w:rsidR="008D2B6E" w:rsidRPr="00667755" w:rsidRDefault="008D2B6E" w:rsidP="00F27919">
            <w:pPr>
              <w:jc w:val="both"/>
              <w:rPr>
                <w:rFonts w:ascii="Arial" w:hAnsi="Arial" w:cs="Arial"/>
                <w:b/>
                <w:color w:val="000000"/>
                <w:sz w:val="22"/>
                <w:szCs w:val="22"/>
                <w:lang w:val="es-CO"/>
              </w:rPr>
            </w:pPr>
            <w:r w:rsidRPr="00667755">
              <w:rPr>
                <w:rFonts w:ascii="Arial" w:hAnsi="Arial" w:cs="Arial"/>
                <w:b/>
                <w:sz w:val="22"/>
                <w:szCs w:val="22"/>
                <w:lang w:val="es-CO"/>
              </w:rPr>
              <w:t>AR</w:t>
            </w:r>
            <w:r>
              <w:rPr>
                <w:rFonts w:ascii="Arial" w:hAnsi="Arial" w:cs="Arial"/>
                <w:b/>
                <w:sz w:val="22"/>
                <w:szCs w:val="22"/>
                <w:lang w:val="es-CO"/>
              </w:rPr>
              <w:t>TÍCULO 135. LITERAL A. NUMERAL 4</w:t>
            </w:r>
            <w:r w:rsidRPr="00667755">
              <w:rPr>
                <w:rFonts w:ascii="Arial" w:hAnsi="Arial" w:cs="Arial"/>
                <w:b/>
                <w:sz w:val="22"/>
                <w:szCs w:val="22"/>
                <w:lang w:val="es-CO"/>
              </w:rPr>
              <w:t xml:space="preserve"> DE LEY 1801 DE 2016.</w:t>
            </w:r>
          </w:p>
        </w:tc>
      </w:tr>
    </w:tbl>
    <w:p w:rsidR="008D2B6E" w:rsidRPr="008C6C2E" w:rsidRDefault="008D2B6E" w:rsidP="008D2B6E">
      <w:pPr>
        <w:jc w:val="both"/>
        <w:rPr>
          <w:rFonts w:ascii="Arial" w:hAnsi="Arial" w:cs="Arial"/>
          <w:sz w:val="22"/>
          <w:szCs w:val="22"/>
          <w:lang w:val="es-CO"/>
        </w:rPr>
      </w:pPr>
    </w:p>
    <w:p w:rsidR="008D2B6E" w:rsidRDefault="008D2B6E" w:rsidP="008D2B6E">
      <w:pPr>
        <w:jc w:val="both"/>
        <w:rPr>
          <w:rFonts w:ascii="Arial" w:hAnsi="Arial" w:cs="Arial"/>
          <w:b/>
          <w:sz w:val="22"/>
          <w:szCs w:val="22"/>
          <w:lang w:val="es-CO"/>
        </w:rPr>
      </w:pPr>
      <w:r>
        <w:rPr>
          <w:rFonts w:ascii="Arial" w:hAnsi="Arial" w:cs="Arial"/>
          <w:sz w:val="22"/>
          <w:szCs w:val="22"/>
          <w:lang w:val="es-CO"/>
        </w:rPr>
        <w:t>El Inspector</w:t>
      </w:r>
      <w:r w:rsidRPr="008C6C2E">
        <w:rPr>
          <w:rFonts w:ascii="Arial" w:hAnsi="Arial" w:cs="Arial"/>
          <w:sz w:val="22"/>
          <w:szCs w:val="22"/>
          <w:lang w:val="es-CO"/>
        </w:rPr>
        <w:t xml:space="preserve"> de Policía Urbana de Primera Categoría, en apoyo al proceso de descongestión</w:t>
      </w:r>
      <w:r>
        <w:rPr>
          <w:rFonts w:ascii="Arial" w:hAnsi="Arial" w:cs="Arial"/>
          <w:sz w:val="22"/>
          <w:szCs w:val="22"/>
          <w:lang w:val="es-CO"/>
        </w:rPr>
        <w:t xml:space="preserve"> y</w:t>
      </w:r>
      <w:r w:rsidRPr="008C6C2E">
        <w:rPr>
          <w:rFonts w:ascii="Arial" w:hAnsi="Arial" w:cs="Arial"/>
          <w:sz w:val="22"/>
          <w:szCs w:val="22"/>
          <w:lang w:val="es-CO"/>
        </w:rPr>
        <w:t xml:space="preserve"> en atención a la Circular Interna </w:t>
      </w:r>
      <w:r w:rsidRPr="00F53919">
        <w:rPr>
          <w:rFonts w:ascii="Arial" w:hAnsi="Arial" w:cs="Arial"/>
          <w:b/>
          <w:sz w:val="22"/>
          <w:szCs w:val="22"/>
          <w:lang w:val="es-CO"/>
        </w:rPr>
        <w:t>N°202360000202</w:t>
      </w:r>
      <w:r w:rsidRPr="008C6C2E">
        <w:rPr>
          <w:rFonts w:ascii="Arial" w:hAnsi="Arial" w:cs="Arial"/>
          <w:sz w:val="22"/>
          <w:szCs w:val="22"/>
          <w:lang w:val="es-CO"/>
        </w:rPr>
        <w:t xml:space="preserve"> del </w:t>
      </w:r>
      <w:r w:rsidRPr="00F53919">
        <w:rPr>
          <w:rFonts w:ascii="Arial" w:hAnsi="Arial" w:cs="Arial"/>
          <w:b/>
          <w:sz w:val="22"/>
          <w:szCs w:val="22"/>
          <w:lang w:val="es-CO"/>
        </w:rPr>
        <w:t>22 DE NOVIEMBRE DE 2023</w:t>
      </w:r>
      <w:r w:rsidRPr="008C6C2E">
        <w:rPr>
          <w:rFonts w:ascii="Arial" w:hAnsi="Arial" w:cs="Arial"/>
          <w:sz w:val="22"/>
          <w:szCs w:val="22"/>
          <w:lang w:val="es-CO"/>
        </w:rPr>
        <w:t xml:space="preserve">, emitida por la Subsecretaría de Gobierno Local y Convivencia, con el fin de llevar a cabo un proceso de descongestión de algunas inspecciones colapsadas por la gran cantidad de procesos por tramitar y en aras de garantizar  uno de los objetivos de la Ley 1801 de 2016, como lo es el establecimiento de un procedimiento respetuoso del debido proceso, idóneo, inmediato, expedito y eficaz para la atención oportuna de los comportamientos contrarios a la convivencia en el territorio nacional; además de la directriz contenida en el oficio </w:t>
      </w:r>
      <w:r w:rsidRPr="00F53919">
        <w:rPr>
          <w:rFonts w:ascii="Arial" w:hAnsi="Arial" w:cs="Arial"/>
          <w:b/>
          <w:sz w:val="22"/>
          <w:szCs w:val="22"/>
          <w:lang w:val="es-CO"/>
        </w:rPr>
        <w:t>N°. 2</w:t>
      </w:r>
      <w:r w:rsidRPr="00F53919">
        <w:rPr>
          <w:rFonts w:ascii="Arial" w:hAnsi="Arial" w:cs="Arial"/>
          <w:b/>
          <w:sz w:val="22"/>
          <w:szCs w:val="22"/>
        </w:rPr>
        <w:t>02420036885</w:t>
      </w:r>
      <w:r w:rsidRPr="00F53919">
        <w:rPr>
          <w:rFonts w:ascii="Arial" w:hAnsi="Arial" w:cs="Arial"/>
          <w:b/>
          <w:sz w:val="22"/>
          <w:szCs w:val="22"/>
          <w:lang w:val="es-CO"/>
        </w:rPr>
        <w:t xml:space="preserve"> </w:t>
      </w:r>
      <w:r>
        <w:rPr>
          <w:rFonts w:ascii="Arial" w:hAnsi="Arial" w:cs="Arial"/>
          <w:sz w:val="22"/>
          <w:szCs w:val="22"/>
          <w:lang w:val="es-CO"/>
        </w:rPr>
        <w:t xml:space="preserve">del </w:t>
      </w:r>
      <w:r w:rsidRPr="00F53919">
        <w:rPr>
          <w:rFonts w:ascii="Arial" w:hAnsi="Arial" w:cs="Arial"/>
          <w:b/>
          <w:sz w:val="22"/>
          <w:szCs w:val="22"/>
          <w:lang w:val="es-CO"/>
        </w:rPr>
        <w:t>20 DE MARZO DE 2024</w:t>
      </w:r>
      <w:r w:rsidRPr="008C6C2E">
        <w:rPr>
          <w:rFonts w:ascii="Arial" w:hAnsi="Arial" w:cs="Arial"/>
          <w:sz w:val="22"/>
          <w:szCs w:val="22"/>
          <w:lang w:val="es-CO"/>
        </w:rPr>
        <w:t xml:space="preserve">, remitido por la Líder de la Unidad Inspecciones de Policía, Doctora </w:t>
      </w:r>
      <w:r w:rsidRPr="00F53919">
        <w:rPr>
          <w:rFonts w:ascii="Arial" w:hAnsi="Arial" w:cs="Arial"/>
          <w:b/>
          <w:sz w:val="22"/>
          <w:szCs w:val="22"/>
          <w:lang w:val="es-CO"/>
        </w:rPr>
        <w:t>ÁNGELA LUCIA LOPERA ARTEAGA</w:t>
      </w:r>
      <w:r w:rsidRPr="008C6C2E">
        <w:rPr>
          <w:rFonts w:ascii="Arial" w:hAnsi="Arial" w:cs="Arial"/>
          <w:sz w:val="22"/>
          <w:szCs w:val="22"/>
          <w:lang w:val="es-CO"/>
        </w:rPr>
        <w:t>, por medio del cual se me indica que cumpla mis funciones dentro del Proceso de Descongestión que</w:t>
      </w:r>
      <w:r>
        <w:rPr>
          <w:rFonts w:ascii="Arial" w:hAnsi="Arial" w:cs="Arial"/>
          <w:sz w:val="22"/>
          <w:szCs w:val="22"/>
          <w:lang w:val="es-CO"/>
        </w:rPr>
        <w:t xml:space="preserve"> se realizará en las diferentes inspecciones del distrito de la Alcaldía de Medellín</w:t>
      </w:r>
      <w:r w:rsidRPr="008C6C2E">
        <w:rPr>
          <w:rFonts w:ascii="Arial" w:hAnsi="Arial" w:cs="Arial"/>
          <w:sz w:val="22"/>
          <w:szCs w:val="22"/>
          <w:lang w:val="es-CO"/>
        </w:rPr>
        <w:t>, en ejercicio de</w:t>
      </w:r>
      <w:r>
        <w:rPr>
          <w:rFonts w:ascii="Arial" w:hAnsi="Arial" w:cs="Arial"/>
          <w:sz w:val="22"/>
          <w:szCs w:val="22"/>
          <w:lang w:val="es-CO"/>
        </w:rPr>
        <w:t xml:space="preserve"> la</w:t>
      </w:r>
      <w:r w:rsidRPr="008C6C2E">
        <w:rPr>
          <w:rFonts w:ascii="Arial" w:hAnsi="Arial" w:cs="Arial"/>
          <w:sz w:val="22"/>
          <w:szCs w:val="22"/>
          <w:lang w:val="es-CO"/>
        </w:rPr>
        <w:t xml:space="preserve"> función de policía y de las facultades constitucionales y legales, en especial de las conferidas por la Ley 1801 de 2016, </w:t>
      </w:r>
      <w:r w:rsidRPr="008C6C2E">
        <w:rPr>
          <w:rFonts w:ascii="Arial" w:eastAsiaTheme="minorHAnsi" w:hAnsi="Arial" w:cs="Arial"/>
          <w:sz w:val="22"/>
          <w:szCs w:val="22"/>
          <w:lang w:val="es-CO"/>
        </w:rPr>
        <w:t>demás normas concor</w:t>
      </w:r>
      <w:r>
        <w:rPr>
          <w:rFonts w:ascii="Arial" w:eastAsiaTheme="minorHAnsi" w:hAnsi="Arial" w:cs="Arial"/>
          <w:sz w:val="22"/>
          <w:szCs w:val="22"/>
          <w:lang w:val="es-CO"/>
        </w:rPr>
        <w:t>dantes, y teniendo en cuenta lo siguiente.</w:t>
      </w:r>
      <w:r w:rsidRPr="002E289A">
        <w:rPr>
          <w:rFonts w:ascii="Arial" w:hAnsi="Arial" w:cs="Arial"/>
          <w:b/>
          <w:sz w:val="22"/>
          <w:szCs w:val="22"/>
          <w:lang w:val="es-CO"/>
        </w:rPr>
        <w:t xml:space="preserve"> </w:t>
      </w:r>
    </w:p>
    <w:p w:rsidR="008D2B6E" w:rsidRDefault="008D2B6E" w:rsidP="008D2B6E">
      <w:pPr>
        <w:jc w:val="center"/>
        <w:rPr>
          <w:rFonts w:ascii="Arial" w:hAnsi="Arial" w:cs="Arial"/>
          <w:b/>
          <w:sz w:val="22"/>
          <w:szCs w:val="22"/>
          <w:lang w:val="es-CO"/>
        </w:rPr>
      </w:pPr>
    </w:p>
    <w:p w:rsidR="008D2B6E" w:rsidRPr="008C6C2E" w:rsidRDefault="008D2B6E" w:rsidP="008D2B6E">
      <w:pPr>
        <w:jc w:val="center"/>
        <w:rPr>
          <w:rFonts w:ascii="Arial" w:hAnsi="Arial" w:cs="Arial"/>
          <w:b/>
          <w:sz w:val="22"/>
          <w:szCs w:val="22"/>
          <w:lang w:val="es-CO"/>
        </w:rPr>
      </w:pPr>
      <w:r w:rsidRPr="008C6C2E">
        <w:rPr>
          <w:rFonts w:ascii="Arial" w:hAnsi="Arial" w:cs="Arial"/>
          <w:b/>
          <w:sz w:val="22"/>
          <w:szCs w:val="22"/>
          <w:lang w:val="es-CO"/>
        </w:rPr>
        <w:t>H E C H O S</w:t>
      </w:r>
      <w:r>
        <w:rPr>
          <w:rFonts w:ascii="Arial" w:hAnsi="Arial" w:cs="Arial"/>
          <w:b/>
          <w:sz w:val="22"/>
          <w:szCs w:val="22"/>
          <w:lang w:val="es-CO"/>
        </w:rPr>
        <w:t>:</w:t>
      </w:r>
    </w:p>
    <w:p w:rsidR="008D2B6E" w:rsidRPr="008C6C2E" w:rsidRDefault="008D2B6E" w:rsidP="008D2B6E">
      <w:pPr>
        <w:jc w:val="center"/>
        <w:rPr>
          <w:rFonts w:ascii="Arial" w:hAnsi="Arial" w:cs="Arial"/>
          <w:b/>
          <w:sz w:val="22"/>
          <w:szCs w:val="22"/>
          <w:lang w:val="es-CO"/>
        </w:rPr>
      </w:pPr>
    </w:p>
    <w:p w:rsidR="008D2B6E" w:rsidRPr="008C6C2E" w:rsidRDefault="008D2B6E" w:rsidP="008D2B6E">
      <w:pPr>
        <w:ind w:left="-142"/>
        <w:jc w:val="both"/>
        <w:rPr>
          <w:rFonts w:ascii="Arial" w:hAnsi="Arial" w:cs="Arial"/>
          <w:sz w:val="22"/>
          <w:szCs w:val="22"/>
          <w:lang w:val="es-CO"/>
        </w:rPr>
      </w:pPr>
      <w:r w:rsidRPr="008C6C2E">
        <w:rPr>
          <w:rFonts w:ascii="Arial" w:hAnsi="Arial" w:cs="Arial"/>
          <w:sz w:val="22"/>
          <w:szCs w:val="22"/>
          <w:lang w:val="es-CO"/>
        </w:rPr>
        <w:t xml:space="preserve">Que la </w:t>
      </w:r>
      <w:r>
        <w:rPr>
          <w:rFonts w:ascii="Arial" w:hAnsi="Arial" w:cs="Arial"/>
          <w:sz w:val="22"/>
          <w:szCs w:val="22"/>
          <w:lang w:val="es-CO"/>
        </w:rPr>
        <w:t>Inspección 3</w:t>
      </w:r>
      <w:r w:rsidRPr="008C6C2E">
        <w:rPr>
          <w:rFonts w:ascii="Arial" w:hAnsi="Arial" w:cs="Arial"/>
          <w:sz w:val="22"/>
          <w:szCs w:val="22"/>
          <w:lang w:val="es-CO"/>
        </w:rPr>
        <w:t xml:space="preserve"> de Policía Urbana de Primera Categoría, con el fin de darle trámite a un proceso por comportamientos que afectan la integridad urbanística, conforme a lo consagrado en el Artículo 135, literal A. Numeral 4 de Ley 1801 de 2016, procedió a introducir </w:t>
      </w:r>
      <w:bookmarkStart w:id="0" w:name="_GoBack"/>
      <w:r w:rsidRPr="008C6C2E">
        <w:rPr>
          <w:rFonts w:ascii="Arial" w:hAnsi="Arial" w:cs="Arial"/>
          <w:sz w:val="22"/>
          <w:szCs w:val="22"/>
          <w:lang w:val="es-CO"/>
        </w:rPr>
        <w:t xml:space="preserve">en la plataforma sistemática THETA dicha denuncia, </w:t>
      </w:r>
      <w:r w:rsidRPr="002E289A">
        <w:rPr>
          <w:rFonts w:ascii="Arial" w:hAnsi="Arial" w:cs="Arial"/>
          <w:b/>
          <w:sz w:val="22"/>
          <w:szCs w:val="22"/>
          <w:lang w:val="es-CO"/>
        </w:rPr>
        <w:t xml:space="preserve">EL DÍA </w:t>
      </w:r>
      <w:r>
        <w:rPr>
          <w:rFonts w:ascii="Arial" w:hAnsi="Arial" w:cs="Arial"/>
          <w:b/>
          <w:sz w:val="22"/>
          <w:szCs w:val="22"/>
          <w:lang w:val="es-CO"/>
        </w:rPr>
        <w:t>13</w:t>
      </w:r>
      <w:r w:rsidRPr="002E289A">
        <w:rPr>
          <w:rFonts w:ascii="Arial" w:hAnsi="Arial" w:cs="Arial"/>
          <w:b/>
          <w:sz w:val="22"/>
          <w:szCs w:val="22"/>
          <w:lang w:val="es-CO"/>
        </w:rPr>
        <w:t xml:space="preserve"> DE </w:t>
      </w:r>
      <w:r>
        <w:rPr>
          <w:rFonts w:ascii="Arial" w:hAnsi="Arial" w:cs="Arial"/>
          <w:b/>
          <w:sz w:val="22"/>
          <w:szCs w:val="22"/>
          <w:lang w:val="es-CO"/>
        </w:rPr>
        <w:t>JULIO DEL 2020</w:t>
      </w:r>
      <w:r w:rsidRPr="006F6606">
        <w:rPr>
          <w:rFonts w:ascii="Arial" w:hAnsi="Arial" w:cs="Arial"/>
          <w:sz w:val="22"/>
          <w:szCs w:val="22"/>
          <w:lang w:val="es-CO"/>
        </w:rPr>
        <w:t>,</w:t>
      </w:r>
      <w:r w:rsidRPr="008C6C2E">
        <w:rPr>
          <w:rFonts w:ascii="Arial" w:hAnsi="Arial" w:cs="Arial"/>
          <w:sz w:val="22"/>
          <w:szCs w:val="22"/>
          <w:lang w:val="es-CO"/>
        </w:rPr>
        <w:t xml:space="preserve"> la cual </w:t>
      </w:r>
      <w:bookmarkEnd w:id="0"/>
      <w:r w:rsidRPr="008C6C2E">
        <w:rPr>
          <w:rFonts w:ascii="Arial" w:hAnsi="Arial" w:cs="Arial"/>
          <w:sz w:val="22"/>
          <w:szCs w:val="22"/>
          <w:lang w:val="es-CO"/>
        </w:rPr>
        <w:t xml:space="preserve">fue firmada por el </w:t>
      </w:r>
      <w:r w:rsidRPr="006F6606">
        <w:rPr>
          <w:rFonts w:ascii="Arial" w:hAnsi="Arial" w:cs="Arial"/>
          <w:sz w:val="22"/>
          <w:szCs w:val="22"/>
          <w:lang w:val="es-CO"/>
        </w:rPr>
        <w:t>funcionario adscrito a este despacho, como obra en el expediente s</w:t>
      </w:r>
      <w:r>
        <w:rPr>
          <w:rFonts w:ascii="Arial" w:hAnsi="Arial" w:cs="Arial"/>
          <w:sz w:val="22"/>
          <w:szCs w:val="22"/>
          <w:lang w:val="es-CO"/>
        </w:rPr>
        <w:t xml:space="preserve">egún el número de radicado No. </w:t>
      </w:r>
      <w:r>
        <w:rPr>
          <w:rFonts w:ascii="Arial" w:hAnsi="Arial" w:cs="Arial"/>
          <w:b/>
          <w:sz w:val="22"/>
          <w:szCs w:val="22"/>
          <w:lang w:val="es-CO"/>
        </w:rPr>
        <w:t>2-17751-20</w:t>
      </w:r>
      <w:r w:rsidRPr="006F6606">
        <w:rPr>
          <w:rFonts w:ascii="Arial" w:hAnsi="Arial" w:cs="Arial"/>
          <w:sz w:val="22"/>
          <w:szCs w:val="22"/>
          <w:lang w:val="es-CO"/>
        </w:rPr>
        <w:t>.</w:t>
      </w:r>
    </w:p>
    <w:p w:rsidR="008D2B6E" w:rsidRPr="008C6C2E" w:rsidRDefault="008D2B6E" w:rsidP="008D2B6E">
      <w:pPr>
        <w:jc w:val="both"/>
        <w:rPr>
          <w:rFonts w:ascii="Arial" w:hAnsi="Arial" w:cs="Arial"/>
          <w:sz w:val="22"/>
          <w:szCs w:val="22"/>
          <w:lang w:val="es-CO"/>
        </w:rPr>
      </w:pPr>
    </w:p>
    <w:p w:rsidR="008D2B6E" w:rsidRDefault="008D2B6E" w:rsidP="008D2B6E">
      <w:pPr>
        <w:ind w:left="-142"/>
        <w:jc w:val="both"/>
        <w:rPr>
          <w:rFonts w:ascii="Arial" w:hAnsi="Arial" w:cs="Arial"/>
          <w:sz w:val="22"/>
          <w:szCs w:val="22"/>
          <w:lang w:val="es-CO"/>
        </w:rPr>
      </w:pPr>
      <w:r w:rsidRPr="008C6C2E">
        <w:rPr>
          <w:rFonts w:ascii="Arial" w:hAnsi="Arial" w:cs="Arial"/>
          <w:sz w:val="22"/>
          <w:szCs w:val="22"/>
          <w:lang w:val="es-CO"/>
        </w:rPr>
        <w:t xml:space="preserve">Que revisado el expediente antes mencionado se pudo constatar que esta </w:t>
      </w:r>
      <w:r>
        <w:rPr>
          <w:rFonts w:ascii="Arial" w:hAnsi="Arial" w:cs="Arial"/>
          <w:sz w:val="22"/>
          <w:szCs w:val="22"/>
          <w:lang w:val="es-CO"/>
        </w:rPr>
        <w:t>Inspección 3 r</w:t>
      </w:r>
      <w:r w:rsidRPr="008C6C2E">
        <w:rPr>
          <w:rFonts w:ascii="Arial" w:hAnsi="Arial" w:cs="Arial"/>
          <w:sz w:val="22"/>
          <w:szCs w:val="22"/>
          <w:lang w:val="es-CO"/>
        </w:rPr>
        <w:t xml:space="preserve">ecibió el informe técnico administrativo por parte de Secretaría de Gestión y Control Territorial con fecha del </w:t>
      </w:r>
      <w:r w:rsidRPr="002E289A">
        <w:rPr>
          <w:rFonts w:ascii="Arial" w:hAnsi="Arial" w:cs="Arial"/>
          <w:b/>
          <w:sz w:val="22"/>
          <w:szCs w:val="22"/>
          <w:lang w:val="es-CO"/>
        </w:rPr>
        <w:t xml:space="preserve">DÍA </w:t>
      </w:r>
      <w:r>
        <w:rPr>
          <w:rFonts w:ascii="Arial" w:hAnsi="Arial" w:cs="Arial"/>
          <w:b/>
          <w:sz w:val="22"/>
          <w:szCs w:val="22"/>
          <w:lang w:val="es-CO"/>
        </w:rPr>
        <w:t>16</w:t>
      </w:r>
      <w:r w:rsidRPr="002E289A">
        <w:rPr>
          <w:rFonts w:ascii="Arial" w:hAnsi="Arial" w:cs="Arial"/>
          <w:b/>
          <w:sz w:val="22"/>
          <w:szCs w:val="22"/>
          <w:lang w:val="es-CO"/>
        </w:rPr>
        <w:t xml:space="preserve"> DE </w:t>
      </w:r>
      <w:r>
        <w:rPr>
          <w:rFonts w:ascii="Arial" w:hAnsi="Arial" w:cs="Arial"/>
          <w:b/>
          <w:sz w:val="22"/>
          <w:szCs w:val="22"/>
          <w:lang w:val="es-CO"/>
        </w:rPr>
        <w:t>JUNIO</w:t>
      </w:r>
      <w:r w:rsidRPr="002E289A">
        <w:rPr>
          <w:rFonts w:ascii="Arial" w:hAnsi="Arial" w:cs="Arial"/>
          <w:b/>
          <w:sz w:val="22"/>
          <w:szCs w:val="22"/>
          <w:lang w:val="es-CO"/>
        </w:rPr>
        <w:t xml:space="preserve"> DEL </w:t>
      </w:r>
      <w:r>
        <w:rPr>
          <w:rFonts w:ascii="Arial" w:hAnsi="Arial" w:cs="Arial"/>
          <w:b/>
          <w:sz w:val="22"/>
          <w:szCs w:val="22"/>
          <w:lang w:val="es-CO"/>
        </w:rPr>
        <w:t>2020</w:t>
      </w:r>
      <w:r w:rsidRPr="001A4DFB">
        <w:rPr>
          <w:rFonts w:ascii="Arial" w:hAnsi="Arial" w:cs="Arial"/>
          <w:sz w:val="22"/>
          <w:szCs w:val="22"/>
          <w:lang w:val="es-CO"/>
        </w:rPr>
        <w:t>,</w:t>
      </w:r>
      <w:r>
        <w:rPr>
          <w:rFonts w:ascii="Arial" w:hAnsi="Arial" w:cs="Arial"/>
          <w:sz w:val="22"/>
          <w:szCs w:val="22"/>
          <w:lang w:val="es-CO"/>
        </w:rPr>
        <w:t xml:space="preserve"> y radicado con el número </w:t>
      </w:r>
      <w:r>
        <w:rPr>
          <w:rFonts w:ascii="Arial" w:hAnsi="Arial" w:cs="Arial"/>
          <w:b/>
          <w:sz w:val="22"/>
          <w:szCs w:val="22"/>
          <w:lang w:val="es-CO"/>
        </w:rPr>
        <w:t>202020037137</w:t>
      </w:r>
      <w:r>
        <w:rPr>
          <w:rFonts w:ascii="Arial" w:hAnsi="Arial" w:cs="Arial"/>
          <w:sz w:val="22"/>
          <w:szCs w:val="22"/>
          <w:lang w:val="es-CO"/>
        </w:rPr>
        <w:t xml:space="preserve"> (</w:t>
      </w:r>
      <w:r w:rsidRPr="0094730F">
        <w:rPr>
          <w:rFonts w:ascii="Arial" w:hAnsi="Arial" w:cs="Arial"/>
          <w:b/>
          <w:sz w:val="22"/>
          <w:szCs w:val="22"/>
          <w:lang w:val="es-CO"/>
        </w:rPr>
        <w:t>FOLIO</w:t>
      </w:r>
      <w:r>
        <w:rPr>
          <w:rFonts w:ascii="Arial" w:hAnsi="Arial" w:cs="Arial"/>
          <w:b/>
          <w:sz w:val="22"/>
          <w:szCs w:val="22"/>
          <w:lang w:val="es-CO"/>
        </w:rPr>
        <w:t>S</w:t>
      </w:r>
      <w:r>
        <w:rPr>
          <w:rFonts w:ascii="Arial" w:hAnsi="Arial" w:cs="Arial"/>
          <w:sz w:val="22"/>
          <w:szCs w:val="22"/>
          <w:lang w:val="es-CO"/>
        </w:rPr>
        <w:t xml:space="preserve"> </w:t>
      </w:r>
      <w:r>
        <w:rPr>
          <w:rFonts w:ascii="Arial" w:hAnsi="Arial" w:cs="Arial"/>
          <w:b/>
          <w:sz w:val="22"/>
          <w:szCs w:val="22"/>
          <w:lang w:val="es-CO"/>
        </w:rPr>
        <w:t>2, 3 Y 4</w:t>
      </w:r>
      <w:r>
        <w:rPr>
          <w:rFonts w:ascii="Arial" w:hAnsi="Arial" w:cs="Arial"/>
          <w:sz w:val="22"/>
          <w:szCs w:val="22"/>
          <w:lang w:val="es-CO"/>
        </w:rPr>
        <w:t>)</w:t>
      </w:r>
      <w:r w:rsidRPr="008C6C2E">
        <w:rPr>
          <w:rFonts w:ascii="Arial" w:hAnsi="Arial" w:cs="Arial"/>
          <w:sz w:val="22"/>
          <w:szCs w:val="22"/>
          <w:lang w:val="es-CO"/>
        </w:rPr>
        <w:t xml:space="preserve"> en el cual se realizó un seguimiento y monitoreo de la construcción ubicada en la</w:t>
      </w:r>
      <w:r w:rsidRPr="008C6C2E">
        <w:rPr>
          <w:rFonts w:ascii="Arial" w:hAnsi="Arial" w:cs="Arial"/>
          <w:b/>
          <w:sz w:val="22"/>
          <w:szCs w:val="22"/>
          <w:lang w:val="es-CO"/>
        </w:rPr>
        <w:t xml:space="preserve"> </w:t>
      </w:r>
      <w:r>
        <w:rPr>
          <w:rFonts w:ascii="Arial" w:hAnsi="Arial" w:cs="Arial"/>
          <w:b/>
          <w:sz w:val="22"/>
          <w:szCs w:val="22"/>
          <w:lang w:val="es-CO"/>
        </w:rPr>
        <w:t>CARRERA 39 No. 82 - 142</w:t>
      </w:r>
      <w:r w:rsidRPr="008C6C2E">
        <w:rPr>
          <w:rFonts w:ascii="Arial" w:hAnsi="Arial" w:cs="Arial"/>
          <w:sz w:val="22"/>
          <w:szCs w:val="22"/>
          <w:lang w:val="es-CO"/>
        </w:rPr>
        <w:t>,</w:t>
      </w:r>
      <w:r>
        <w:rPr>
          <w:rFonts w:ascii="Arial" w:hAnsi="Arial" w:cs="Arial"/>
          <w:sz w:val="22"/>
          <w:szCs w:val="22"/>
          <w:lang w:val="es-CO"/>
        </w:rPr>
        <w:t xml:space="preserve"> y en el cual en uno de sus apartes se dice textualmente: “Construcción sobre espacio para uso Público Existente: Actual. No prescribe Articulo 266 de la Ley 1801 de 2016. Caducidad y Prescripción  </w:t>
      </w: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AREAS DE LAS INFRACCIONES URBANISTICAS:</w:t>
      </w: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Construcción sin licencia de Construcción: 57,60 m2”. (</w:t>
      </w:r>
      <w:r>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3</w:t>
      </w:r>
      <w:r>
        <w:rPr>
          <w:rFonts w:ascii="Arial" w:hAnsi="Arial" w:cs="Arial"/>
          <w:sz w:val="22"/>
          <w:szCs w:val="22"/>
          <w:lang w:val="es-CO"/>
        </w:rPr>
        <w:t>).</w:t>
      </w:r>
    </w:p>
    <w:p w:rsidR="008D2B6E" w:rsidRDefault="008D2B6E" w:rsidP="008D2B6E">
      <w:pPr>
        <w:ind w:left="-142"/>
        <w:jc w:val="both"/>
        <w:rPr>
          <w:rFonts w:ascii="Arial" w:hAnsi="Arial" w:cs="Arial"/>
          <w:sz w:val="22"/>
          <w:szCs w:val="22"/>
          <w:lang w:val="es-CO"/>
        </w:rPr>
      </w:pP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 xml:space="preserve">Que la inspección tercera de policía urbana de primera categoría, mediante el auto calendado del </w:t>
      </w:r>
      <w:r>
        <w:rPr>
          <w:rFonts w:ascii="Arial" w:hAnsi="Arial" w:cs="Arial"/>
          <w:b/>
          <w:sz w:val="22"/>
          <w:szCs w:val="22"/>
          <w:lang w:val="es-CO"/>
        </w:rPr>
        <w:t>13</w:t>
      </w:r>
      <w:r w:rsidRPr="002E289A">
        <w:rPr>
          <w:rFonts w:ascii="Arial" w:hAnsi="Arial" w:cs="Arial"/>
          <w:b/>
          <w:sz w:val="22"/>
          <w:szCs w:val="22"/>
          <w:lang w:val="es-CO"/>
        </w:rPr>
        <w:t xml:space="preserve"> DE </w:t>
      </w:r>
      <w:r>
        <w:rPr>
          <w:rFonts w:ascii="Arial" w:hAnsi="Arial" w:cs="Arial"/>
          <w:b/>
          <w:sz w:val="22"/>
          <w:szCs w:val="22"/>
          <w:lang w:val="es-CO"/>
        </w:rPr>
        <w:t>JULIO</w:t>
      </w:r>
      <w:r w:rsidRPr="002E289A">
        <w:rPr>
          <w:rFonts w:ascii="Arial" w:hAnsi="Arial" w:cs="Arial"/>
          <w:b/>
          <w:sz w:val="22"/>
          <w:szCs w:val="22"/>
          <w:lang w:val="es-CO"/>
        </w:rPr>
        <w:t xml:space="preserve"> DEL </w:t>
      </w:r>
      <w:r>
        <w:rPr>
          <w:rFonts w:ascii="Arial" w:hAnsi="Arial" w:cs="Arial"/>
          <w:b/>
          <w:sz w:val="22"/>
          <w:szCs w:val="22"/>
          <w:lang w:val="es-CO"/>
        </w:rPr>
        <w:t>2024</w:t>
      </w:r>
      <w:r>
        <w:rPr>
          <w:rFonts w:ascii="Arial" w:hAnsi="Arial" w:cs="Arial"/>
          <w:sz w:val="22"/>
          <w:szCs w:val="22"/>
          <w:lang w:val="es-CO"/>
        </w:rPr>
        <w:t>, inicia la apertura del proceso verbal abreviado, con fundamento en el artículo 135, de la ley 1801 del 2016. (</w:t>
      </w:r>
      <w:r w:rsidRPr="0094730F">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9</w:t>
      </w:r>
      <w:r>
        <w:rPr>
          <w:rFonts w:ascii="Arial" w:hAnsi="Arial" w:cs="Arial"/>
          <w:sz w:val="22"/>
          <w:szCs w:val="22"/>
          <w:lang w:val="es-CO"/>
        </w:rPr>
        <w:t>).</w:t>
      </w:r>
    </w:p>
    <w:p w:rsidR="008D2B6E" w:rsidRDefault="008D2B6E" w:rsidP="008D2B6E">
      <w:pPr>
        <w:ind w:left="-142"/>
        <w:jc w:val="both"/>
        <w:rPr>
          <w:rFonts w:ascii="Arial" w:hAnsi="Arial" w:cs="Arial"/>
          <w:sz w:val="22"/>
          <w:szCs w:val="22"/>
          <w:lang w:val="es-CO"/>
        </w:rPr>
      </w:pP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 xml:space="preserve">Que mediante auto calendado del </w:t>
      </w:r>
      <w:r>
        <w:rPr>
          <w:rFonts w:ascii="Arial" w:hAnsi="Arial" w:cs="Arial"/>
          <w:b/>
          <w:sz w:val="22"/>
          <w:szCs w:val="22"/>
          <w:lang w:val="es-CO"/>
        </w:rPr>
        <w:t>11 DE MAYO</w:t>
      </w:r>
      <w:r w:rsidRPr="002E289A">
        <w:rPr>
          <w:rFonts w:ascii="Arial" w:hAnsi="Arial" w:cs="Arial"/>
          <w:b/>
          <w:sz w:val="22"/>
          <w:szCs w:val="22"/>
          <w:lang w:val="es-CO"/>
        </w:rPr>
        <w:t xml:space="preserve"> DEL </w:t>
      </w:r>
      <w:r>
        <w:rPr>
          <w:rFonts w:ascii="Arial" w:hAnsi="Arial" w:cs="Arial"/>
          <w:b/>
          <w:sz w:val="22"/>
          <w:szCs w:val="22"/>
          <w:lang w:val="es-CO"/>
        </w:rPr>
        <w:t>2023</w:t>
      </w:r>
      <w:r>
        <w:rPr>
          <w:rFonts w:ascii="Arial" w:hAnsi="Arial" w:cs="Arial"/>
          <w:sz w:val="22"/>
          <w:szCs w:val="22"/>
          <w:lang w:val="es-CO"/>
        </w:rPr>
        <w:t>, la inspección de policía urbana de primera categoría número 3</w:t>
      </w:r>
      <w:r>
        <w:rPr>
          <w:rFonts w:ascii="Arial" w:hAnsi="Arial" w:cs="Arial"/>
          <w:b/>
          <w:sz w:val="22"/>
          <w:szCs w:val="22"/>
          <w:lang w:val="es-CO"/>
        </w:rPr>
        <w:t xml:space="preserve"> </w:t>
      </w:r>
      <w:r w:rsidRPr="0094730F">
        <w:rPr>
          <w:rFonts w:ascii="Arial" w:hAnsi="Arial" w:cs="Arial"/>
          <w:sz w:val="22"/>
          <w:szCs w:val="22"/>
          <w:lang w:val="es-CO"/>
        </w:rPr>
        <w:t>de Manrique</w:t>
      </w:r>
      <w:r>
        <w:rPr>
          <w:rFonts w:ascii="Arial" w:hAnsi="Arial" w:cs="Arial"/>
          <w:sz w:val="22"/>
          <w:szCs w:val="22"/>
          <w:lang w:val="es-CO"/>
        </w:rPr>
        <w:t xml:space="preserve">, avoca conocimiento del expediente y fija fecha para audiencia pública para el día </w:t>
      </w:r>
      <w:r>
        <w:rPr>
          <w:rFonts w:ascii="Arial" w:hAnsi="Arial" w:cs="Arial"/>
          <w:b/>
          <w:sz w:val="22"/>
          <w:szCs w:val="22"/>
          <w:lang w:val="es-CO"/>
        </w:rPr>
        <w:t>15</w:t>
      </w:r>
      <w:r w:rsidRPr="002E289A">
        <w:rPr>
          <w:rFonts w:ascii="Arial" w:hAnsi="Arial" w:cs="Arial"/>
          <w:b/>
          <w:sz w:val="22"/>
          <w:szCs w:val="22"/>
          <w:lang w:val="es-CO"/>
        </w:rPr>
        <w:t xml:space="preserve"> DE </w:t>
      </w:r>
      <w:r>
        <w:rPr>
          <w:rFonts w:ascii="Arial" w:hAnsi="Arial" w:cs="Arial"/>
          <w:b/>
          <w:sz w:val="22"/>
          <w:szCs w:val="22"/>
          <w:lang w:val="es-CO"/>
        </w:rPr>
        <w:t>ENERO</w:t>
      </w:r>
      <w:r w:rsidRPr="002E289A">
        <w:rPr>
          <w:rFonts w:ascii="Arial" w:hAnsi="Arial" w:cs="Arial"/>
          <w:b/>
          <w:sz w:val="22"/>
          <w:szCs w:val="22"/>
          <w:lang w:val="es-CO"/>
        </w:rPr>
        <w:t xml:space="preserve"> DEL </w:t>
      </w:r>
      <w:r>
        <w:rPr>
          <w:rFonts w:ascii="Arial" w:hAnsi="Arial" w:cs="Arial"/>
          <w:b/>
          <w:sz w:val="22"/>
          <w:szCs w:val="22"/>
          <w:lang w:val="es-CO"/>
        </w:rPr>
        <w:t>2024</w:t>
      </w:r>
      <w:r w:rsidRPr="002E289A">
        <w:rPr>
          <w:rFonts w:ascii="Arial" w:hAnsi="Arial" w:cs="Arial"/>
          <w:b/>
          <w:sz w:val="22"/>
          <w:szCs w:val="22"/>
          <w:lang w:val="es-CO"/>
        </w:rPr>
        <w:t xml:space="preserve"> </w:t>
      </w:r>
      <w:r>
        <w:rPr>
          <w:rFonts w:ascii="Arial" w:hAnsi="Arial" w:cs="Arial"/>
          <w:sz w:val="22"/>
          <w:szCs w:val="22"/>
          <w:lang w:val="es-CO"/>
        </w:rPr>
        <w:t xml:space="preserve">a las </w:t>
      </w:r>
      <w:r>
        <w:rPr>
          <w:rFonts w:ascii="Arial" w:hAnsi="Arial" w:cs="Arial"/>
          <w:b/>
          <w:sz w:val="22"/>
          <w:szCs w:val="22"/>
          <w:lang w:val="es-CO"/>
        </w:rPr>
        <w:t>10:00 A.M.</w:t>
      </w:r>
      <w:r>
        <w:rPr>
          <w:rFonts w:ascii="Arial" w:hAnsi="Arial" w:cs="Arial"/>
          <w:sz w:val="22"/>
          <w:szCs w:val="22"/>
          <w:lang w:val="es-CO"/>
        </w:rPr>
        <w:t xml:space="preserve"> (</w:t>
      </w:r>
      <w:r w:rsidRPr="0094730F">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12</w:t>
      </w:r>
      <w:r>
        <w:rPr>
          <w:rFonts w:ascii="Arial" w:hAnsi="Arial" w:cs="Arial"/>
          <w:sz w:val="22"/>
          <w:szCs w:val="22"/>
          <w:lang w:val="es-CO"/>
        </w:rPr>
        <w:t xml:space="preserve">). </w:t>
      </w:r>
    </w:p>
    <w:p w:rsidR="008D2B6E" w:rsidRDefault="008D2B6E" w:rsidP="008D2B6E">
      <w:pPr>
        <w:ind w:left="-142"/>
        <w:jc w:val="both"/>
        <w:rPr>
          <w:rFonts w:ascii="Arial" w:hAnsi="Arial" w:cs="Arial"/>
          <w:sz w:val="22"/>
          <w:szCs w:val="22"/>
          <w:lang w:val="es-CO"/>
        </w:rPr>
      </w:pP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 xml:space="preserve">Que además a </w:t>
      </w:r>
      <w:r w:rsidRPr="00196334">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13</w:t>
      </w:r>
      <w:r>
        <w:rPr>
          <w:rFonts w:ascii="Arial" w:hAnsi="Arial" w:cs="Arial"/>
          <w:sz w:val="22"/>
          <w:szCs w:val="22"/>
          <w:lang w:val="es-CO"/>
        </w:rPr>
        <w:t xml:space="preserve"> obra constancia secretarial de la inspección de Descongestión sobre el trámite administrativo enviado a este despacho por la inspección </w:t>
      </w:r>
      <w:r w:rsidRPr="0094730F">
        <w:rPr>
          <w:rFonts w:ascii="Arial" w:hAnsi="Arial" w:cs="Arial"/>
          <w:sz w:val="22"/>
          <w:szCs w:val="22"/>
          <w:lang w:val="es-CO"/>
        </w:rPr>
        <w:t>3 de Manrique</w:t>
      </w:r>
      <w:r>
        <w:rPr>
          <w:rFonts w:ascii="Arial" w:hAnsi="Arial" w:cs="Arial"/>
          <w:sz w:val="22"/>
          <w:szCs w:val="22"/>
          <w:lang w:val="es-CO"/>
        </w:rPr>
        <w:t xml:space="preserve"> y radicado con el número </w:t>
      </w:r>
      <w:r>
        <w:rPr>
          <w:rFonts w:ascii="Arial" w:hAnsi="Arial" w:cs="Arial"/>
          <w:b/>
          <w:sz w:val="22"/>
          <w:szCs w:val="22"/>
          <w:lang w:val="es-CO"/>
        </w:rPr>
        <w:t>2-17751-20</w:t>
      </w:r>
      <w:r>
        <w:rPr>
          <w:rFonts w:ascii="Arial" w:hAnsi="Arial" w:cs="Arial"/>
          <w:sz w:val="22"/>
          <w:szCs w:val="22"/>
          <w:lang w:val="es-CO"/>
        </w:rPr>
        <w:t xml:space="preserve">, calendado del </w:t>
      </w:r>
      <w:r>
        <w:rPr>
          <w:rFonts w:ascii="Arial" w:hAnsi="Arial" w:cs="Arial"/>
          <w:b/>
          <w:sz w:val="22"/>
          <w:szCs w:val="22"/>
          <w:lang w:val="es-CO"/>
        </w:rPr>
        <w:t>24 DE NOVIEMBRE DEL 2023</w:t>
      </w:r>
      <w:r>
        <w:rPr>
          <w:rFonts w:ascii="Arial" w:hAnsi="Arial" w:cs="Arial"/>
          <w:sz w:val="22"/>
          <w:szCs w:val="22"/>
          <w:lang w:val="es-CO"/>
        </w:rPr>
        <w:t>.</w:t>
      </w:r>
    </w:p>
    <w:p w:rsidR="008D2B6E" w:rsidRDefault="008D2B6E" w:rsidP="008D2B6E">
      <w:pPr>
        <w:ind w:left="-142"/>
        <w:jc w:val="both"/>
        <w:rPr>
          <w:rFonts w:ascii="Arial" w:hAnsi="Arial" w:cs="Arial"/>
          <w:sz w:val="22"/>
          <w:szCs w:val="22"/>
          <w:lang w:val="es-CO"/>
        </w:rPr>
      </w:pPr>
    </w:p>
    <w:p w:rsidR="008D2B6E" w:rsidRDefault="008D2B6E" w:rsidP="008D2B6E">
      <w:pPr>
        <w:ind w:left="-142"/>
        <w:jc w:val="both"/>
        <w:rPr>
          <w:rFonts w:ascii="Arial" w:hAnsi="Arial" w:cs="Arial"/>
          <w:sz w:val="22"/>
          <w:szCs w:val="22"/>
          <w:lang w:val="es-CO"/>
        </w:rPr>
      </w:pPr>
      <w:r>
        <w:rPr>
          <w:rFonts w:ascii="Arial" w:hAnsi="Arial" w:cs="Arial"/>
          <w:sz w:val="22"/>
          <w:szCs w:val="22"/>
          <w:lang w:val="es-CO"/>
        </w:rPr>
        <w:t xml:space="preserve">Que así mismo obra auto de avóquese conocimiento del proceso, por parte del inspector de Descongestión </w:t>
      </w:r>
      <w:r w:rsidRPr="00550431">
        <w:rPr>
          <w:rFonts w:ascii="Arial" w:hAnsi="Arial" w:cs="Arial"/>
          <w:b/>
          <w:sz w:val="22"/>
          <w:szCs w:val="22"/>
          <w:lang w:val="es-CO"/>
        </w:rPr>
        <w:t>MAURICIO GONZALEZ LOPEZ</w:t>
      </w:r>
      <w:r>
        <w:rPr>
          <w:rFonts w:ascii="Arial" w:hAnsi="Arial" w:cs="Arial"/>
          <w:sz w:val="22"/>
          <w:szCs w:val="22"/>
          <w:lang w:val="es-CO"/>
        </w:rPr>
        <w:t xml:space="preserve">, de fecha </w:t>
      </w:r>
      <w:r>
        <w:rPr>
          <w:rFonts w:ascii="Arial" w:hAnsi="Arial" w:cs="Arial"/>
          <w:b/>
          <w:sz w:val="22"/>
          <w:szCs w:val="22"/>
          <w:lang w:val="es-CO"/>
        </w:rPr>
        <w:t>17 DE ABRIL</w:t>
      </w:r>
      <w:r w:rsidRPr="002E289A">
        <w:rPr>
          <w:rFonts w:ascii="Arial" w:hAnsi="Arial" w:cs="Arial"/>
          <w:b/>
          <w:sz w:val="22"/>
          <w:szCs w:val="22"/>
          <w:lang w:val="es-CO"/>
        </w:rPr>
        <w:t xml:space="preserve"> DE </w:t>
      </w:r>
      <w:r>
        <w:rPr>
          <w:rFonts w:ascii="Arial" w:hAnsi="Arial" w:cs="Arial"/>
          <w:b/>
          <w:sz w:val="22"/>
          <w:szCs w:val="22"/>
          <w:lang w:val="es-CO"/>
        </w:rPr>
        <w:t>2024</w:t>
      </w:r>
      <w:r>
        <w:rPr>
          <w:rFonts w:ascii="Arial" w:hAnsi="Arial" w:cs="Arial"/>
          <w:sz w:val="22"/>
          <w:szCs w:val="22"/>
          <w:lang w:val="es-CO"/>
        </w:rPr>
        <w:t>. (</w:t>
      </w:r>
      <w:r w:rsidRPr="0094730F">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15</w:t>
      </w:r>
      <w:r>
        <w:rPr>
          <w:rFonts w:ascii="Arial" w:hAnsi="Arial" w:cs="Arial"/>
          <w:sz w:val="22"/>
          <w:szCs w:val="22"/>
          <w:lang w:val="es-CO"/>
        </w:rPr>
        <w:t>).</w:t>
      </w:r>
    </w:p>
    <w:p w:rsidR="005F67F5" w:rsidRPr="008C6C2E" w:rsidRDefault="005F67F5" w:rsidP="005F67F5">
      <w:pPr>
        <w:ind w:left="-142"/>
        <w:jc w:val="both"/>
        <w:rPr>
          <w:rFonts w:ascii="Arial" w:hAnsi="Arial" w:cs="Arial"/>
          <w:sz w:val="22"/>
          <w:szCs w:val="22"/>
          <w:lang w:val="es-CO"/>
        </w:rPr>
      </w:pPr>
    </w:p>
    <w:p w:rsidR="005F67F5" w:rsidRPr="008C6C2E" w:rsidRDefault="005F67F5" w:rsidP="005F67F5">
      <w:pPr>
        <w:jc w:val="center"/>
        <w:rPr>
          <w:rFonts w:ascii="Arial" w:hAnsi="Arial" w:cs="Arial"/>
          <w:b/>
          <w:sz w:val="22"/>
          <w:szCs w:val="22"/>
          <w:lang w:val="es-CO"/>
        </w:rPr>
      </w:pPr>
    </w:p>
    <w:p w:rsidR="005F67F5" w:rsidRPr="008C6C2E" w:rsidRDefault="005F67F5" w:rsidP="005F67F5">
      <w:pPr>
        <w:jc w:val="center"/>
        <w:rPr>
          <w:rFonts w:ascii="Arial" w:hAnsi="Arial" w:cs="Arial"/>
          <w:b/>
          <w:sz w:val="22"/>
          <w:szCs w:val="22"/>
          <w:lang w:val="es-CO"/>
        </w:rPr>
      </w:pPr>
      <w:r w:rsidRPr="008C6C2E">
        <w:rPr>
          <w:rFonts w:ascii="Arial" w:hAnsi="Arial" w:cs="Arial"/>
          <w:b/>
          <w:sz w:val="22"/>
          <w:szCs w:val="22"/>
          <w:lang w:val="es-CO"/>
        </w:rPr>
        <w:t>FUNDAMENTOS NORMATIVOS</w:t>
      </w:r>
    </w:p>
    <w:p w:rsidR="005F67F5" w:rsidRPr="008C6C2E" w:rsidRDefault="005F67F5" w:rsidP="005F67F5">
      <w:pPr>
        <w:jc w:val="center"/>
        <w:rPr>
          <w:rFonts w:ascii="Arial" w:hAnsi="Arial" w:cs="Arial"/>
          <w:b/>
          <w:sz w:val="22"/>
          <w:szCs w:val="22"/>
          <w:lang w:val="es-CO"/>
        </w:rPr>
      </w:pPr>
    </w:p>
    <w:p w:rsidR="005F67F5" w:rsidRPr="008C6C2E" w:rsidRDefault="005F67F5" w:rsidP="005F67F5">
      <w:pPr>
        <w:jc w:val="both"/>
        <w:rPr>
          <w:rFonts w:ascii="Arial" w:hAnsi="Arial" w:cs="Arial"/>
          <w:b/>
          <w:sz w:val="22"/>
          <w:szCs w:val="22"/>
          <w:lang w:val="es-CO"/>
        </w:rPr>
      </w:pPr>
      <w:r w:rsidRPr="008C6C2E">
        <w:rPr>
          <w:rFonts w:ascii="Arial" w:hAnsi="Arial" w:cs="Arial"/>
          <w:sz w:val="22"/>
          <w:szCs w:val="22"/>
          <w:lang w:val="es-CO"/>
        </w:rPr>
        <w:t xml:space="preserve">Que en el ordenamiento jurídico colombiano se tiene como garantía la seguridad jurídica y por esta razón, se encuentra restringida en el tiempo. En el anterior sentido, la referida normativa señala el tiempo que tiene la administración Municipal – Función de Policía, para adelantar la respectiva actuación administrativa e imponer las sanciones correspondientes, siempre que haya lugar a ello. Por lo tanto ha transcurrido en exceso los tres (3) años de que trata el artículo 138 de la Ley 1801 de 2016: </w:t>
      </w:r>
      <w:r w:rsidRPr="008C6C2E">
        <w:rPr>
          <w:rFonts w:ascii="Arial" w:hAnsi="Arial" w:cs="Arial"/>
          <w:b/>
          <w:sz w:val="22"/>
          <w:szCs w:val="22"/>
          <w:lang w:val="es-CO"/>
        </w:rPr>
        <w:t>“</w:t>
      </w:r>
      <w:r w:rsidRPr="008C6C2E">
        <w:rPr>
          <w:rFonts w:ascii="Arial"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hAnsi="Arial" w:cs="Arial"/>
          <w:b/>
          <w:sz w:val="22"/>
          <w:szCs w:val="22"/>
          <w:lang w:val="es-CO"/>
        </w:rPr>
        <w:t>.”</w:t>
      </w:r>
    </w:p>
    <w:p w:rsidR="005F67F5" w:rsidRPr="008C6C2E" w:rsidRDefault="005F67F5" w:rsidP="005F67F5">
      <w:pPr>
        <w:jc w:val="both"/>
        <w:rPr>
          <w:rFonts w:ascii="Arial" w:hAnsi="Arial" w:cs="Arial"/>
          <w:sz w:val="22"/>
          <w:szCs w:val="22"/>
          <w:lang w:val="es-CO"/>
        </w:rPr>
      </w:pPr>
    </w:p>
    <w:p w:rsidR="005F67F5" w:rsidRPr="008C6C2E" w:rsidRDefault="005F67F5" w:rsidP="005F67F5">
      <w:pPr>
        <w:jc w:val="both"/>
        <w:rPr>
          <w:rFonts w:ascii="Arial" w:hAnsi="Arial" w:cs="Arial"/>
          <w:i/>
          <w:sz w:val="22"/>
          <w:szCs w:val="22"/>
          <w:lang w:val="es-CO"/>
        </w:rPr>
      </w:pPr>
      <w:r w:rsidRPr="008C6C2E">
        <w:rPr>
          <w:rFonts w:ascii="Arial" w:hAnsi="Arial" w:cs="Arial"/>
          <w:i/>
          <w:sz w:val="22"/>
          <w:szCs w:val="22"/>
          <w:lang w:val="es-CO"/>
        </w:rPr>
        <w:t xml:space="preserve">Que en este orden de ideas, el Código de Procedimiento Administrativo y de los Contencioso Administrativo (Ley 1437 de 2011) en su Artículo 52, indica: </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w:t>
      </w:r>
      <w:r w:rsidRPr="008C6C2E">
        <w:rPr>
          <w:rFonts w:ascii="Arial" w:hAnsi="Arial" w:cs="Arial"/>
          <w:b/>
          <w:i/>
          <w:sz w:val="22"/>
          <w:szCs w:val="22"/>
          <w:lang w:val="es-CO"/>
        </w:rPr>
        <w:t>Artículo. 52</w:t>
      </w:r>
      <w:r w:rsidRPr="008C6C2E">
        <w:rPr>
          <w:rFonts w:ascii="Arial" w:hAnsi="Arial" w:cs="Arial"/>
          <w:i/>
          <w:sz w:val="22"/>
          <w:szCs w:val="22"/>
          <w:lang w:val="es-CO"/>
        </w:rPr>
        <w:t>.-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Cuando se trate de un hecho o conducta continuada, este término se contará desde el día siguiente a aquel en que cesó la infracción y/o la ejecución.</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La sanción decretada por acto administrativo prescribirá al cabo de cinco (5) años contados a partir de la fecha de la ejecutoria.”</w:t>
      </w:r>
    </w:p>
    <w:p w:rsidR="005F67F5" w:rsidRPr="008C6C2E" w:rsidRDefault="005F67F5" w:rsidP="005F67F5">
      <w:pPr>
        <w:jc w:val="both"/>
        <w:rPr>
          <w:rFonts w:ascii="Arial" w:hAnsi="Arial" w:cs="Arial"/>
          <w:i/>
          <w:sz w:val="22"/>
          <w:szCs w:val="22"/>
          <w:lang w:val="es-CO"/>
        </w:rPr>
      </w:pPr>
    </w:p>
    <w:p w:rsidR="005F67F5" w:rsidRPr="008C6C2E" w:rsidRDefault="005F67F5" w:rsidP="005F67F5">
      <w:pPr>
        <w:jc w:val="both"/>
        <w:rPr>
          <w:rFonts w:ascii="Arial" w:hAnsi="Arial" w:cs="Arial"/>
          <w:sz w:val="22"/>
          <w:szCs w:val="22"/>
          <w:lang w:val="es-CO"/>
        </w:rPr>
      </w:pPr>
      <w:r w:rsidRPr="008C6C2E">
        <w:rPr>
          <w:rFonts w:ascii="Arial" w:hAnsi="Arial" w:cs="Arial"/>
          <w:sz w:val="22"/>
          <w:szCs w:val="22"/>
          <w:lang w:val="es-CO"/>
        </w:rPr>
        <w:t xml:space="preserve">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COMERCIO. Referencia: NULIDAD Y RESTABLECIMIENTO DEL DERECHO – FALLO), sobre el fenómeno jurídico de la caducidad de la facultad sancionatoria, en relación al Artículo 38 del Decreto Ley 01 de 1984 (Código Contencioso Administrativo), hoy Artículo </w:t>
      </w:r>
      <w:r w:rsidRPr="008C6C2E">
        <w:rPr>
          <w:rFonts w:ascii="Arial" w:hAnsi="Arial" w:cs="Arial"/>
          <w:sz w:val="22"/>
          <w:szCs w:val="22"/>
          <w:lang w:val="es-CO"/>
        </w:rPr>
        <w:lastRenderedPageBreak/>
        <w:t>91 de la Ley 1437 de 2011 (Código de Procedimiento Administrativo y de lo Contencioso Administrativo), dijo:</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Al respecto, es importante señalar que en tratándose de conductas que afecten o sean contrarias a la libre competencia, esta Corporación ha reiterado en 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5F67F5" w:rsidRPr="008C6C2E" w:rsidRDefault="005F67F5" w:rsidP="005F67F5">
      <w:pPr>
        <w:jc w:val="both"/>
        <w:rPr>
          <w:rFonts w:ascii="Arial" w:hAnsi="Arial" w:cs="Arial"/>
          <w:i/>
          <w:sz w:val="22"/>
          <w:szCs w:val="22"/>
          <w:lang w:val="es-CO"/>
        </w:rPr>
      </w:pPr>
    </w:p>
    <w:p w:rsidR="005F67F5" w:rsidRPr="008C6C2E" w:rsidRDefault="005F67F5" w:rsidP="005F67F5">
      <w:pPr>
        <w:jc w:val="both"/>
        <w:rPr>
          <w:rFonts w:ascii="Arial" w:hAnsi="Arial" w:cs="Arial"/>
          <w:i/>
          <w:sz w:val="22"/>
          <w:szCs w:val="22"/>
          <w:lang w:val="es-CO"/>
        </w:rPr>
      </w:pPr>
      <w:r w:rsidRPr="008C6C2E">
        <w:rPr>
          <w:rFonts w:ascii="Arial" w:hAnsi="Arial" w:cs="Arial"/>
          <w:i/>
          <w:sz w:val="22"/>
          <w:szCs w:val="22"/>
          <w:lang w:val="es-CO"/>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w:t>
      </w: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Para resolver la controversia, la Sala observa que de conformidad con el artículo 38 del C.C.A., “la facultad que tienen las autoridades administrativas para imponer 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sancionado, independientemente de la interposición de los recursos». La postura de la Sala, es pues, la de que la sanción se entiende impuesta oportunamente, si dentro del término asignado para ejercer esta potestad, la Administración expide y notifica el </w:t>
      </w:r>
      <w:r w:rsidRPr="008C6C2E">
        <w:rPr>
          <w:rFonts w:ascii="Arial" w:hAnsi="Arial" w:cs="Arial"/>
          <w:i/>
          <w:sz w:val="22"/>
          <w:szCs w:val="22"/>
          <w:lang w:val="es-CO"/>
        </w:rPr>
        <w:lastRenderedPageBreak/>
        <w:t xml:space="preserve">acto que concluye la actuación administrativa sancionatoria, independientemente de la interposición de los recursos. </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jc w:val="both"/>
        <w:rPr>
          <w:rFonts w:ascii="Arial" w:hAnsi="Arial" w:cs="Arial"/>
          <w:sz w:val="22"/>
          <w:szCs w:val="22"/>
          <w:lang w:val="es-CO"/>
        </w:rPr>
      </w:pPr>
      <w:r w:rsidRPr="008C6C2E">
        <w:rPr>
          <w:rFonts w:ascii="Arial" w:hAnsi="Arial" w:cs="Arial"/>
          <w:sz w:val="22"/>
          <w:szCs w:val="22"/>
          <w:lang w:val="es-CO"/>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w:t>
      </w:r>
    </w:p>
    <w:p w:rsidR="005F67F5" w:rsidRPr="008C6C2E" w:rsidRDefault="005F67F5" w:rsidP="005F67F5">
      <w:pPr>
        <w:ind w:left="567"/>
        <w:jc w:val="both"/>
        <w:rPr>
          <w:rFonts w:ascii="Arial" w:hAnsi="Arial" w:cs="Arial"/>
          <w:b/>
          <w:i/>
          <w:sz w:val="22"/>
          <w:szCs w:val="22"/>
          <w:lang w:val="es-CO"/>
        </w:rPr>
      </w:pPr>
      <w:r w:rsidRPr="008C6C2E">
        <w:rPr>
          <w:rFonts w:ascii="Arial" w:hAnsi="Arial" w:cs="Arial"/>
          <w:b/>
          <w:i/>
          <w:sz w:val="22"/>
          <w:szCs w:val="22"/>
          <w:lang w:val="es-CO"/>
        </w:rPr>
        <w:t>El desarrollo jurisprudencial del Consejo de Estado en relación con la caducidad de la facultad sancionatoria de las autoridades administrativas prevista en el artículo 38 del Código Contencioso Administrativo -Decreto 01 de 1984-</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En efecto, las secciones de esa Corporación desarrollaron tres tesis según las cuales, en el plazo en mención y para que no opere la caducidad, las autoridades deben: (i) expedir el acto administrativo sancionatorio; (ii) proferir dicho acto y notificarlo, y (iii) emitir la decisión principal, notificarla, resolver los recursos formulados en su contra y notificar al recurrente.</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b/>
          <w:i/>
          <w:sz w:val="22"/>
          <w:szCs w:val="22"/>
          <w:lang w:val="es-CO"/>
        </w:rPr>
      </w:pPr>
      <w:r w:rsidRPr="008C6C2E">
        <w:rPr>
          <w:rFonts w:ascii="Arial" w:hAnsi="Arial" w:cs="Arial"/>
          <w:i/>
          <w:sz w:val="22"/>
          <w:szCs w:val="22"/>
          <w:lang w:val="es-CO"/>
        </w:rPr>
        <w:t xml:space="preserve">En atención a esa disparidad de posturas, en </w:t>
      </w:r>
      <w:r w:rsidRPr="008C6C2E">
        <w:rPr>
          <w:rFonts w:ascii="Arial" w:hAnsi="Arial" w:cs="Arial"/>
          <w:b/>
          <w:i/>
          <w:sz w:val="22"/>
          <w:szCs w:val="22"/>
          <w:lang w:val="es-CO"/>
        </w:rPr>
        <w:t>sentencia del 29 de septiembre de 2009</w:t>
      </w:r>
      <w:r w:rsidRPr="008C6C2E">
        <w:rPr>
          <w:rFonts w:ascii="Arial" w:hAnsi="Arial" w:cs="Arial"/>
          <w:i/>
          <w:sz w:val="22"/>
          <w:szCs w:val="22"/>
          <w:lang w:val="es-CO"/>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8C6C2E">
        <w:rPr>
          <w:rFonts w:ascii="Arial" w:hAnsi="Arial" w:cs="Arial"/>
          <w:b/>
          <w:i/>
          <w:sz w:val="22"/>
          <w:szCs w:val="22"/>
          <w:lang w:val="es-CO"/>
        </w:rPr>
        <w:t>se expide y notifica el acto que concluye la actuación administrativa, que es la decisión primigenia y no la que resuelve los recursos de la vía gubernativa.</w:t>
      </w:r>
    </w:p>
    <w:p w:rsidR="005F67F5" w:rsidRPr="008C6C2E" w:rsidRDefault="005F67F5" w:rsidP="005F67F5">
      <w:pPr>
        <w:ind w:left="567"/>
        <w:jc w:val="both"/>
        <w:rPr>
          <w:rFonts w:ascii="Arial" w:hAnsi="Arial" w:cs="Arial"/>
          <w:b/>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Es necesario precisar que dicha sentencia de unificación se emitió en el marco de un proceso disciplinario adelantado por la Procuraduría Delegada para la Defensa de los Derechos Humanos y de acuerdo con el término de caducidad previsto en el artículo 12 de la Ley 25 de 1974</w:t>
      </w:r>
      <w:r w:rsidRPr="008C6C2E">
        <w:rPr>
          <w:rFonts w:ascii="Arial" w:hAnsi="Arial" w:cs="Arial"/>
          <w:sz w:val="22"/>
          <w:szCs w:val="22"/>
          <w:lang w:val="es-CO"/>
        </w:rPr>
        <w:t xml:space="preserve"> - </w:t>
      </w:r>
      <w:r w:rsidRPr="008C6C2E">
        <w:rPr>
          <w:rFonts w:ascii="Arial" w:hAnsi="Arial" w:cs="Arial"/>
          <w:i/>
          <w:sz w:val="22"/>
          <w:szCs w:val="22"/>
          <w:lang w:val="es-CO"/>
        </w:rPr>
        <w:t>articulo 12. La acción disciplinaria prescribe en cinco años contados a partir del último acto constitutivo de la falta.”  Modificado por el artículo 6º de la Ley 13 de 1984.</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Posteriormente, la </w:t>
      </w:r>
      <w:r w:rsidRPr="008C6C2E">
        <w:rPr>
          <w:rFonts w:ascii="Arial" w:hAnsi="Arial" w:cs="Arial"/>
          <w:b/>
          <w:i/>
          <w:sz w:val="22"/>
          <w:szCs w:val="22"/>
          <w:lang w:val="es-CO"/>
        </w:rPr>
        <w:t>Sección Primera del Consejo de Estado</w:t>
      </w:r>
      <w:r w:rsidRPr="008C6C2E">
        <w:rPr>
          <w:rFonts w:ascii="Arial" w:hAnsi="Arial" w:cs="Arial"/>
          <w:i/>
          <w:sz w:val="22"/>
          <w:szCs w:val="22"/>
          <w:lang w:val="es-CO"/>
        </w:rPr>
        <w:t xml:space="preserve">, tal y como se verá, acogió la sentencia proferida por Sala Plena de esa Corporación </w:t>
      </w:r>
      <w:r w:rsidRPr="008C6C2E">
        <w:rPr>
          <w:rFonts w:ascii="Arial" w:hAnsi="Arial" w:cs="Arial"/>
          <w:b/>
          <w:i/>
          <w:sz w:val="22"/>
          <w:szCs w:val="22"/>
          <w:lang w:val="es-CO"/>
        </w:rPr>
        <w:t>como una decisión orientadora</w:t>
      </w:r>
      <w:r w:rsidRPr="008C6C2E">
        <w:rPr>
          <w:rFonts w:ascii="Arial" w:hAnsi="Arial" w:cs="Arial"/>
          <w:i/>
          <w:sz w:val="22"/>
          <w:szCs w:val="22"/>
          <w:lang w:val="es-CO"/>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30.- En la </w:t>
      </w:r>
      <w:r w:rsidRPr="008C6C2E">
        <w:rPr>
          <w:rFonts w:ascii="Arial" w:hAnsi="Arial" w:cs="Arial"/>
          <w:b/>
          <w:i/>
          <w:sz w:val="22"/>
          <w:szCs w:val="22"/>
          <w:lang w:val="es-CO"/>
        </w:rPr>
        <w:t xml:space="preserve">sentencia de 9 de junio de 2011, M.P. </w:t>
      </w:r>
      <w:r w:rsidRPr="008C6C2E">
        <w:rPr>
          <w:rFonts w:ascii="Arial" w:hAnsi="Arial" w:cs="Arial"/>
          <w:i/>
          <w:sz w:val="22"/>
          <w:szCs w:val="22"/>
          <w:lang w:val="es-CO"/>
        </w:rPr>
        <w:t xml:space="preserve">Marco Antonio Velilla Moreno. Exp.2004-00986,  la Sección Primera estudió el recurso de apelación formulado </w:t>
      </w:r>
      <w:r w:rsidRPr="008C6C2E">
        <w:rPr>
          <w:rFonts w:ascii="Arial" w:hAnsi="Arial" w:cs="Arial"/>
          <w:i/>
          <w:sz w:val="22"/>
          <w:szCs w:val="22"/>
          <w:lang w:val="es-CO"/>
        </w:rPr>
        <w:lastRenderedPageBreak/>
        <w:t>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sentencia de 23 de febrero de 2012</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La autoridad judicial reiteró los argumentos expuestos en la sentencia de 9 de junio de 2011 y, por ende, señaló que la sanción se considera oportunamente impuesta si dentro del término de caducidad se ejerce la potestad, es decir, se expide el acto y se adelanta la notificación correspondiente. </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14 de febrero de 2013, </w:t>
      </w:r>
      <w:r w:rsidRPr="008C6C2E">
        <w:rPr>
          <w:rFonts w:ascii="Arial" w:hAnsi="Arial" w:cs="Arial"/>
          <w:i/>
          <w:sz w:val="22"/>
          <w:szCs w:val="22"/>
          <w:lang w:val="es-CO"/>
        </w:rPr>
        <w:t xml:space="preserve">M.P. Marco Antonio Velilla Moreno.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28 de agosto de 2014, </w:t>
      </w:r>
      <w:r w:rsidRPr="008C6C2E">
        <w:rPr>
          <w:rFonts w:ascii="Arial" w:hAnsi="Arial" w:cs="Arial"/>
          <w:i/>
          <w:sz w:val="22"/>
          <w:szCs w:val="22"/>
          <w:lang w:val="es-CO"/>
        </w:rPr>
        <w:t xml:space="preserve"> M.P. Guillermo Vargas Ayala.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administrativos demandados deben ser anulados por haber sido expedidos por fuera del término previsto en el artículo 38 del CCA:</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1134"/>
        <w:jc w:val="both"/>
        <w:rPr>
          <w:rFonts w:ascii="Arial" w:hAnsi="Arial" w:cs="Arial"/>
          <w:i/>
          <w:sz w:val="22"/>
          <w:szCs w:val="22"/>
          <w:lang w:val="es-CO"/>
        </w:rPr>
      </w:pPr>
      <w:r w:rsidRPr="008C6C2E">
        <w:rPr>
          <w:rFonts w:ascii="Arial" w:hAnsi="Arial" w:cs="Arial"/>
          <w:i/>
          <w:sz w:val="22"/>
          <w:szCs w:val="22"/>
          <w:lang w:val="es-CO"/>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En atención a esas consideraciones, revocó el fallo de primera instancia y, en su lugar, denegó las pretensiones de la demanda.</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En el mismo sentido, la </w:t>
      </w:r>
      <w:r w:rsidRPr="008C6C2E">
        <w:rPr>
          <w:rFonts w:ascii="Arial" w:hAnsi="Arial" w:cs="Arial"/>
          <w:b/>
          <w:i/>
          <w:sz w:val="22"/>
          <w:szCs w:val="22"/>
          <w:lang w:val="es-CO"/>
        </w:rPr>
        <w:t>sentencia de 29 de abril de 2015.</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2005-01346. citó la unificación de 29 de septiembre de 2009 y destacó en relación con la caducidad que: </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1134"/>
        <w:jc w:val="both"/>
        <w:rPr>
          <w:rFonts w:ascii="Arial" w:hAnsi="Arial" w:cs="Arial"/>
          <w:i/>
          <w:sz w:val="22"/>
          <w:szCs w:val="22"/>
          <w:lang w:val="es-CO"/>
        </w:rPr>
      </w:pPr>
      <w:r w:rsidRPr="008C6C2E">
        <w:rPr>
          <w:rFonts w:ascii="Arial" w:hAnsi="Arial" w:cs="Arial"/>
          <w:i/>
          <w:sz w:val="22"/>
          <w:szCs w:val="22"/>
          <w:lang w:val="es-CO"/>
        </w:rPr>
        <w:t>“(…) no sólo es necesario imponer la sanción dentro del término de los tres (3) años en mención, sino que es indispensable que se dé la notificación del acto administrativo que pone fin a la investigación disciplinaria dentro de ese mismo término, a fin de que produzca efectos legales.”</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Como sustento de esa postura, reiteró que el acto que pone fin al procedimiento y resuelve de fondo el asunto es el que concreta la facultad sancionatoria, con independencia de que el debate continúe si el interesado decide hacer uso de los recursos en vía gubernativa.</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En la </w:t>
      </w:r>
      <w:r w:rsidRPr="008C6C2E">
        <w:rPr>
          <w:rFonts w:ascii="Arial" w:hAnsi="Arial" w:cs="Arial"/>
          <w:b/>
          <w:i/>
          <w:sz w:val="22"/>
          <w:szCs w:val="22"/>
          <w:lang w:val="es-CO"/>
        </w:rPr>
        <w:t xml:space="preserve">sentencia de 15 de septiembre de 2016, </w:t>
      </w:r>
      <w:r w:rsidRPr="008C6C2E">
        <w:rPr>
          <w:rFonts w:ascii="Arial" w:hAnsi="Arial" w:cs="Arial"/>
          <w:i/>
          <w:sz w:val="22"/>
          <w:szCs w:val="22"/>
          <w:lang w:val="es-CO"/>
        </w:rPr>
        <w:t xml:space="preserve">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8C6C2E">
        <w:rPr>
          <w:rFonts w:ascii="Arial" w:hAnsi="Arial" w:cs="Arial"/>
          <w:i/>
          <w:sz w:val="22"/>
          <w:szCs w:val="22"/>
          <w:lang w:val="es-CO"/>
        </w:rPr>
        <w:t>quem</w:t>
      </w:r>
      <w:proofErr w:type="spellEnd"/>
      <w:r w:rsidRPr="008C6C2E">
        <w:rPr>
          <w:rFonts w:ascii="Arial" w:hAnsi="Arial" w:cs="Arial"/>
          <w:i/>
          <w:sz w:val="22"/>
          <w:szCs w:val="22"/>
          <w:lang w:val="es-CO"/>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La postura descrita también se expuso, entre otras, en las sentencias de </w:t>
      </w:r>
      <w:r w:rsidRPr="008C6C2E">
        <w:rPr>
          <w:rFonts w:ascii="Arial" w:hAnsi="Arial" w:cs="Arial"/>
          <w:b/>
          <w:i/>
          <w:sz w:val="22"/>
          <w:szCs w:val="22"/>
          <w:lang w:val="es-CO"/>
        </w:rPr>
        <w:t xml:space="preserve">8 de mayo de 2014, </w:t>
      </w:r>
      <w:r w:rsidRPr="008C6C2E">
        <w:rPr>
          <w:rFonts w:ascii="Arial" w:eastAsia="Times New Roman" w:hAnsi="Arial" w:cs="Arial"/>
          <w:i/>
          <w:sz w:val="22"/>
          <w:szCs w:val="22"/>
          <w:lang w:val="es-CO" w:eastAsia="es-ES"/>
        </w:rPr>
        <w:t>M.P. María Elizabeth García González.</w:t>
      </w:r>
      <w:r w:rsidRPr="008C6C2E">
        <w:rPr>
          <w:rFonts w:ascii="Arial" w:eastAsia="Times New Roman" w:hAnsi="Arial" w:cs="Arial"/>
          <w:sz w:val="22"/>
          <w:szCs w:val="22"/>
          <w:lang w:val="es-CO" w:eastAsia="es-ES"/>
        </w:rPr>
        <w:t xml:space="preserve"> </w:t>
      </w:r>
      <w:proofErr w:type="spellStart"/>
      <w:r w:rsidRPr="008C6C2E">
        <w:rPr>
          <w:rFonts w:ascii="Arial" w:eastAsia="Times New Roman" w:hAnsi="Arial" w:cs="Arial"/>
          <w:i/>
          <w:sz w:val="22"/>
          <w:szCs w:val="22"/>
          <w:lang w:val="es-CO" w:eastAsia="es-ES"/>
        </w:rPr>
        <w:t>Exp</w:t>
      </w:r>
      <w:proofErr w:type="spellEnd"/>
      <w:r w:rsidRPr="008C6C2E">
        <w:rPr>
          <w:rFonts w:ascii="Arial" w:eastAsia="Times New Roman" w:hAnsi="Arial" w:cs="Arial"/>
          <w:i/>
          <w:sz w:val="22"/>
          <w:szCs w:val="22"/>
          <w:lang w:val="es-CO" w:eastAsia="es-ES"/>
        </w:rPr>
        <w:t>. 2010-0003</w:t>
      </w:r>
      <w:r w:rsidRPr="008C6C2E">
        <w:rPr>
          <w:rFonts w:ascii="Arial" w:hAnsi="Arial" w:cs="Arial"/>
          <w:b/>
          <w:i/>
          <w:sz w:val="22"/>
          <w:szCs w:val="22"/>
          <w:lang w:val="es-CO"/>
        </w:rPr>
        <w:t xml:space="preserve">, 29 de septiembre de 2016, </w:t>
      </w:r>
      <w:r w:rsidRPr="008C6C2E">
        <w:rPr>
          <w:rFonts w:ascii="Arial" w:hAnsi="Arial" w:cs="Arial"/>
          <w:i/>
          <w:sz w:val="22"/>
          <w:szCs w:val="22"/>
          <w:lang w:val="es-CO"/>
        </w:rPr>
        <w:t xml:space="preserve">M.P. María Claudia Rojas Lasso.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2004-00370</w:t>
      </w:r>
      <w:r w:rsidRPr="008C6C2E">
        <w:rPr>
          <w:rFonts w:ascii="Arial" w:hAnsi="Arial" w:cs="Arial"/>
          <w:b/>
          <w:i/>
          <w:sz w:val="22"/>
          <w:szCs w:val="22"/>
          <w:lang w:val="es-CO"/>
        </w:rPr>
        <w:t xml:space="preserve"> y 15 de febrero de 2018,</w:t>
      </w:r>
      <w:r w:rsidRPr="008C6C2E">
        <w:rPr>
          <w:rFonts w:ascii="Arial" w:hAnsi="Arial" w:cs="Arial"/>
          <w:i/>
          <w:sz w:val="22"/>
          <w:szCs w:val="22"/>
          <w:lang w:val="es-CO"/>
        </w:rPr>
        <w:t xml:space="preserve"> M.P. Lucy Jeannette Bermúdez.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2005-01423. proferidas por la Sección Primera del Consejo de Estado.</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8C6C2E">
        <w:rPr>
          <w:rFonts w:ascii="Arial" w:hAnsi="Arial" w:cs="Arial"/>
          <w:b/>
          <w:i/>
          <w:sz w:val="22"/>
          <w:szCs w:val="22"/>
          <w:lang w:val="es-CO"/>
        </w:rPr>
        <w:t>la facultad sancionatoria de las autoridades administrativas no caduca si en el término de 3 años previsto en la norma en mención se expide y notifica el acto administrativo principal.</w:t>
      </w:r>
    </w:p>
    <w:p w:rsidR="005F67F5" w:rsidRPr="008C6C2E" w:rsidRDefault="005F67F5" w:rsidP="005F67F5">
      <w:pPr>
        <w:ind w:left="567"/>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5F67F5" w:rsidRPr="008C6C2E" w:rsidRDefault="005F67F5" w:rsidP="005F67F5">
      <w:pPr>
        <w:jc w:val="both"/>
        <w:rPr>
          <w:rFonts w:ascii="Arial" w:hAnsi="Arial" w:cs="Arial"/>
          <w:i/>
          <w:sz w:val="22"/>
          <w:szCs w:val="22"/>
          <w:lang w:val="es-CO"/>
        </w:rPr>
      </w:pPr>
    </w:p>
    <w:p w:rsidR="005F67F5" w:rsidRPr="008C6C2E" w:rsidRDefault="005F67F5" w:rsidP="005F67F5">
      <w:pPr>
        <w:ind w:left="567"/>
        <w:jc w:val="both"/>
        <w:rPr>
          <w:rFonts w:ascii="Arial" w:hAnsi="Arial" w:cs="Arial"/>
          <w:i/>
          <w:sz w:val="22"/>
          <w:szCs w:val="22"/>
          <w:lang w:val="es-CO"/>
        </w:rPr>
      </w:pPr>
      <w:r w:rsidRPr="008C6C2E">
        <w:rPr>
          <w:rFonts w:ascii="Arial" w:hAnsi="Arial" w:cs="Arial"/>
          <w:i/>
          <w:sz w:val="22"/>
          <w:szCs w:val="22"/>
          <w:lang w:val="es-CO"/>
        </w:rPr>
        <w:t xml:space="preserve">Finalmente, hay que precisar que en el precedente descrito si bien se expone una tesis uniforme sobre la forma de contabilización del término de caducidad, algunas de las providencias tomaron como criterio orientador la sentencia de unificación de 29 de septiembre de 2009 y otras sólo hicieron alusión a la postura reiterada de la sección. Es decir, se estableció una regla de interpretación del artículo 38 del Decreto 01 de </w:t>
      </w:r>
      <w:r w:rsidRPr="008C6C2E">
        <w:rPr>
          <w:rFonts w:ascii="Arial" w:hAnsi="Arial" w:cs="Arial"/>
          <w:i/>
          <w:sz w:val="22"/>
          <w:szCs w:val="22"/>
          <w:lang w:val="es-CO"/>
        </w:rPr>
        <w:lastRenderedPageBreak/>
        <w:t>1984, que se construyó desde dos fuentes: el criterio expuesto por la Sala Plena y el reconocimiento de esa postura como la acogida e imperante en la Sección Primera del Consejo de Estado.”</w:t>
      </w:r>
    </w:p>
    <w:p w:rsidR="005F67F5" w:rsidRPr="008C6C2E" w:rsidRDefault="005F67F5" w:rsidP="005F67F5">
      <w:pPr>
        <w:jc w:val="both"/>
        <w:rPr>
          <w:rFonts w:ascii="Arial" w:hAnsi="Arial" w:cs="Arial"/>
          <w:i/>
          <w:sz w:val="22"/>
          <w:szCs w:val="22"/>
          <w:lang w:val="es-CO"/>
        </w:rPr>
      </w:pPr>
    </w:p>
    <w:p w:rsidR="005F67F5" w:rsidRPr="008C6C2E" w:rsidRDefault="005F67F5" w:rsidP="005F67F5">
      <w:pPr>
        <w:jc w:val="both"/>
        <w:rPr>
          <w:rFonts w:ascii="Arial" w:hAnsi="Arial" w:cs="Arial"/>
          <w:i/>
          <w:sz w:val="22"/>
          <w:szCs w:val="22"/>
          <w:lang w:val="es-CO"/>
        </w:rPr>
      </w:pPr>
      <w:r w:rsidRPr="008C6C2E">
        <w:rPr>
          <w:rFonts w:ascii="Arial" w:hAnsi="Arial" w:cs="Arial"/>
          <w:sz w:val="22"/>
          <w:szCs w:val="22"/>
          <w:lang w:val="es-CO"/>
        </w:rPr>
        <w:t>Es pues el tema tratado, conforme a la línea jurisprudencial emanada por la Honorable Corte Constitucional:</w:t>
      </w:r>
      <w:r w:rsidRPr="008C6C2E">
        <w:rPr>
          <w:rFonts w:ascii="Arial" w:hAnsi="Arial" w:cs="Arial"/>
          <w:i/>
          <w:sz w:val="22"/>
          <w:szCs w:val="22"/>
          <w:lang w:val="es-CO"/>
        </w:rPr>
        <w:t xml:space="preserve"> “… La institución jurídica de la caducidad se fundamenta en que a la 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5F67F5" w:rsidRPr="008C6C2E" w:rsidRDefault="005F67F5" w:rsidP="005F67F5">
      <w:pPr>
        <w:jc w:val="both"/>
        <w:rPr>
          <w:rFonts w:ascii="Arial" w:hAnsi="Arial" w:cs="Arial"/>
          <w:sz w:val="22"/>
          <w:szCs w:val="22"/>
          <w:lang w:val="es-CO"/>
        </w:rPr>
      </w:pPr>
    </w:p>
    <w:p w:rsidR="005F67F5" w:rsidRPr="008C6C2E" w:rsidRDefault="005F67F5" w:rsidP="005F67F5">
      <w:pPr>
        <w:jc w:val="both"/>
        <w:rPr>
          <w:rFonts w:ascii="Arial" w:hAnsi="Arial" w:cs="Arial"/>
          <w:sz w:val="22"/>
          <w:szCs w:val="22"/>
          <w:lang w:val="es-CO"/>
        </w:rPr>
      </w:pPr>
      <w:r w:rsidRPr="008C6C2E">
        <w:rPr>
          <w:rFonts w:ascii="Arial" w:hAnsi="Arial" w:cs="Arial"/>
          <w:sz w:val="22"/>
          <w:szCs w:val="22"/>
          <w:lang w:val="es-CO"/>
        </w:rPr>
        <w:t xml:space="preserve">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1801 del 2016 Artículo 135, Literal A Numeral 4, </w:t>
      </w:r>
      <w:r w:rsidRPr="008C6C2E">
        <w:rPr>
          <w:rFonts w:ascii="Arial" w:hAnsi="Arial" w:cs="Arial"/>
          <w:b/>
          <w:sz w:val="22"/>
          <w:szCs w:val="22"/>
          <w:lang w:val="es-CO"/>
        </w:rPr>
        <w:t>ya que al haber operado la figura jurídica de la caducidad, es deber de este despacho así declararlo</w:t>
      </w:r>
      <w:r w:rsidRPr="008C6C2E">
        <w:rPr>
          <w:rFonts w:ascii="Arial" w:hAnsi="Arial" w:cs="Arial"/>
          <w:sz w:val="22"/>
          <w:szCs w:val="22"/>
          <w:lang w:val="es-CO"/>
        </w:rPr>
        <w:t>. Por todo lo anterior, y en aras de garantizar la seguridad jurídica, y toda vez que se encuentran configurados los presupuestos procesales para que esta prospere, procederá el Despacho a declarar la misma.</w:t>
      </w:r>
      <w:r>
        <w:rPr>
          <w:rFonts w:ascii="Arial" w:hAnsi="Arial" w:cs="Arial"/>
          <w:sz w:val="22"/>
          <w:szCs w:val="22"/>
          <w:lang w:val="es-CO"/>
        </w:rPr>
        <w:t xml:space="preserve"> En este punto es importante hacer claridad en el sentido de que dentro del procedimiento administrativo que es objeto de análisis, no solo existe una infracción por construcción sin licencia en terreno apto para ello, sino también una construcción sobre el espacio público, según se desprende del informe técnico que obra a </w:t>
      </w:r>
      <w:r w:rsidRPr="007419D2">
        <w:rPr>
          <w:rFonts w:ascii="Arial" w:hAnsi="Arial" w:cs="Arial"/>
          <w:b/>
          <w:sz w:val="22"/>
          <w:szCs w:val="22"/>
          <w:lang w:val="es-CO"/>
        </w:rPr>
        <w:t>FOLIOS</w:t>
      </w:r>
      <w:r>
        <w:rPr>
          <w:rFonts w:ascii="Arial" w:hAnsi="Arial" w:cs="Arial"/>
          <w:sz w:val="22"/>
          <w:szCs w:val="22"/>
          <w:lang w:val="es-CO"/>
        </w:rPr>
        <w:t xml:space="preserve"> </w:t>
      </w:r>
      <w:r w:rsidR="008D2B6E">
        <w:rPr>
          <w:rFonts w:ascii="Arial" w:hAnsi="Arial" w:cs="Arial"/>
          <w:b/>
          <w:sz w:val="22"/>
          <w:szCs w:val="22"/>
          <w:lang w:val="es-CO"/>
        </w:rPr>
        <w:t>2, 3 Y 4</w:t>
      </w:r>
      <w:r>
        <w:rPr>
          <w:rFonts w:ascii="Arial" w:hAnsi="Arial" w:cs="Arial"/>
          <w:sz w:val="22"/>
          <w:szCs w:val="22"/>
          <w:lang w:val="es-CO"/>
        </w:rPr>
        <w:t xml:space="preserve">, lo que lleva al despacho a tener que realizar la ruptura de la unidad procesal, en el sentido de que son dos procedimientos diferentes, donde en el primero, esto es la construcción sobre terreno privado, la cual tiene un término de caducidad de tres años y el procedimiento sobre la ocupación de espacio público, el cual no tiene termino de caducidad, ya que los bienes de uso público tienen los atributos de </w:t>
      </w:r>
      <w:proofErr w:type="spellStart"/>
      <w:r>
        <w:rPr>
          <w:rFonts w:ascii="Arial" w:hAnsi="Arial" w:cs="Arial"/>
          <w:sz w:val="22"/>
          <w:szCs w:val="22"/>
          <w:lang w:val="es-CO"/>
        </w:rPr>
        <w:t>inembargabilidad</w:t>
      </w:r>
      <w:proofErr w:type="spellEnd"/>
      <w:r>
        <w:rPr>
          <w:rFonts w:ascii="Arial" w:hAnsi="Arial" w:cs="Arial"/>
          <w:sz w:val="22"/>
          <w:szCs w:val="22"/>
          <w:lang w:val="es-CO"/>
        </w:rPr>
        <w:t xml:space="preserve">, imprescriptibilidad e inalienabilidad. Es por lo anterior que el despacho solo se pronunciara sobre la caducidad de lo construido sobre terreno apto y privado, y ordenara compulsar copias para que se inicie por separado otro procedimiento administrativo por la  presunta contravención de la ocupación del espacio </w:t>
      </w:r>
      <w:proofErr w:type="spellStart"/>
      <w:r>
        <w:rPr>
          <w:rFonts w:ascii="Arial" w:hAnsi="Arial" w:cs="Arial"/>
          <w:sz w:val="22"/>
          <w:szCs w:val="22"/>
          <w:lang w:val="es-CO"/>
        </w:rPr>
        <w:t>publico</w:t>
      </w:r>
      <w:proofErr w:type="spellEnd"/>
      <w:r>
        <w:rPr>
          <w:rFonts w:ascii="Arial" w:hAnsi="Arial" w:cs="Arial"/>
          <w:sz w:val="22"/>
          <w:szCs w:val="22"/>
          <w:lang w:val="es-CO"/>
        </w:rPr>
        <w:t xml:space="preserve">. </w:t>
      </w:r>
    </w:p>
    <w:p w:rsidR="005F67F5" w:rsidRPr="008C6C2E" w:rsidRDefault="005F67F5" w:rsidP="005F67F5">
      <w:pPr>
        <w:jc w:val="both"/>
        <w:rPr>
          <w:rFonts w:ascii="Arial" w:hAnsi="Arial" w:cs="Arial"/>
          <w:sz w:val="22"/>
          <w:szCs w:val="22"/>
          <w:lang w:val="es-CO"/>
        </w:rPr>
      </w:pPr>
    </w:p>
    <w:p w:rsidR="005F67F5" w:rsidRPr="008C6C2E" w:rsidRDefault="005F67F5" w:rsidP="005F67F5">
      <w:pPr>
        <w:ind w:left="-142"/>
        <w:jc w:val="both"/>
        <w:rPr>
          <w:rFonts w:ascii="Arial" w:hAnsi="Arial" w:cs="Arial"/>
          <w:b/>
          <w:sz w:val="22"/>
          <w:szCs w:val="22"/>
          <w:lang w:val="es-CO"/>
        </w:rPr>
      </w:pPr>
      <w:r w:rsidRPr="008C6C2E">
        <w:rPr>
          <w:rFonts w:ascii="Arial" w:hAnsi="Arial" w:cs="Arial"/>
          <w:sz w:val="22"/>
          <w:szCs w:val="22"/>
          <w:lang w:val="es-CO"/>
        </w:rPr>
        <w:t>Por lo antes expuesto, este Despacho se abst</w:t>
      </w:r>
      <w:r>
        <w:rPr>
          <w:rFonts w:ascii="Arial" w:hAnsi="Arial" w:cs="Arial"/>
          <w:sz w:val="22"/>
          <w:szCs w:val="22"/>
          <w:lang w:val="es-CO"/>
        </w:rPr>
        <w:t>iene de continuar este trámite</w:t>
      </w:r>
      <w:r w:rsidRPr="008C6C2E">
        <w:rPr>
          <w:rFonts w:ascii="Arial" w:hAnsi="Arial" w:cs="Arial"/>
          <w:sz w:val="22"/>
          <w:szCs w:val="22"/>
          <w:lang w:val="es-CO"/>
        </w:rPr>
        <w:t xml:space="preserve">, conforme al artículo </w:t>
      </w:r>
      <w:r>
        <w:rPr>
          <w:rFonts w:ascii="Arial" w:hAnsi="Arial" w:cs="Arial"/>
          <w:sz w:val="22"/>
          <w:szCs w:val="22"/>
          <w:lang w:val="es-CO"/>
        </w:rPr>
        <w:t>138</w:t>
      </w:r>
      <w:r w:rsidRPr="008C6C2E">
        <w:rPr>
          <w:rFonts w:ascii="Arial" w:hAnsi="Arial" w:cs="Arial"/>
          <w:sz w:val="22"/>
          <w:szCs w:val="22"/>
          <w:lang w:val="es-CO"/>
        </w:rPr>
        <w:t xml:space="preserve"> de la ley 1081 de 2016 y a</w:t>
      </w:r>
      <w:r w:rsidRPr="008C6C2E">
        <w:rPr>
          <w:rFonts w:ascii="Arial" w:hAnsi="Arial" w:cs="Arial"/>
          <w:color w:val="000000" w:themeColor="text1"/>
          <w:sz w:val="22"/>
          <w:szCs w:val="22"/>
          <w:lang w:val="es-CO"/>
        </w:rPr>
        <w:t xml:space="preserve">corde con los argumentos antes esgrimidos y en razón </w:t>
      </w:r>
      <w:r w:rsidRPr="008C6C2E">
        <w:rPr>
          <w:rFonts w:ascii="Arial" w:hAnsi="Arial" w:cs="Arial"/>
          <w:color w:val="000000" w:themeColor="text1"/>
          <w:sz w:val="22"/>
          <w:szCs w:val="22"/>
          <w:lang w:val="es-CO"/>
        </w:rPr>
        <w:lastRenderedPageBreak/>
        <w:t xml:space="preserve">a la no presencia de los elementos necesarios que pudieran dar curso al mismo, </w:t>
      </w:r>
      <w:r w:rsidRPr="008C6C2E">
        <w:rPr>
          <w:rFonts w:ascii="Arial" w:hAnsi="Arial" w:cs="Arial"/>
          <w:snapToGrid w:val="0"/>
          <w:color w:val="000000" w:themeColor="text1"/>
          <w:sz w:val="22"/>
          <w:szCs w:val="22"/>
          <w:lang w:val="es-CO"/>
        </w:rPr>
        <w:t xml:space="preserve">se </w:t>
      </w:r>
      <w:r w:rsidRPr="008C6C2E">
        <w:rPr>
          <w:rFonts w:ascii="Arial" w:hAnsi="Arial" w:cs="Arial"/>
          <w:color w:val="000000" w:themeColor="text1"/>
          <w:sz w:val="22"/>
          <w:szCs w:val="22"/>
          <w:lang w:val="es-CO"/>
        </w:rPr>
        <w:t xml:space="preserve">concluye la imposibilidad de continuar </w:t>
      </w:r>
      <w:r>
        <w:rPr>
          <w:rFonts w:ascii="Arial" w:hAnsi="Arial" w:cs="Arial"/>
          <w:color w:val="000000" w:themeColor="text1"/>
          <w:sz w:val="22"/>
          <w:szCs w:val="22"/>
          <w:lang w:val="es-CO"/>
        </w:rPr>
        <w:t>el procedimiento hasta el final</w:t>
      </w:r>
      <w:r w:rsidRPr="008C6C2E">
        <w:rPr>
          <w:rFonts w:ascii="Arial" w:hAnsi="Arial" w:cs="Arial"/>
          <w:color w:val="000000" w:themeColor="text1"/>
          <w:sz w:val="22"/>
          <w:szCs w:val="22"/>
          <w:lang w:val="es-CO"/>
        </w:rPr>
        <w:t xml:space="preserve">. </w:t>
      </w:r>
    </w:p>
    <w:p w:rsidR="005F67F5" w:rsidRPr="008C6C2E" w:rsidRDefault="005F67F5" w:rsidP="005F67F5">
      <w:pPr>
        <w:ind w:left="-142"/>
        <w:jc w:val="both"/>
        <w:rPr>
          <w:rFonts w:ascii="Arial" w:hAnsi="Arial" w:cs="Arial"/>
          <w:b/>
          <w:sz w:val="22"/>
          <w:szCs w:val="22"/>
          <w:lang w:val="es-CO"/>
        </w:rPr>
      </w:pPr>
    </w:p>
    <w:p w:rsidR="005F67F5" w:rsidRPr="008C6C2E" w:rsidRDefault="005F67F5" w:rsidP="005F67F5">
      <w:pPr>
        <w:ind w:left="-142"/>
        <w:jc w:val="both"/>
        <w:rPr>
          <w:rFonts w:ascii="Arial" w:hAnsi="Arial" w:cs="Arial"/>
          <w:b/>
          <w:sz w:val="22"/>
          <w:szCs w:val="22"/>
          <w:lang w:val="es-CO"/>
        </w:rPr>
      </w:pPr>
      <w:r w:rsidRPr="008C6C2E">
        <w:rPr>
          <w:rFonts w:ascii="Arial" w:eastAsiaTheme="minorHAnsi" w:hAnsi="Arial" w:cs="Arial"/>
          <w:sz w:val="22"/>
          <w:szCs w:val="22"/>
          <w:lang w:val="es-CO"/>
        </w:rPr>
        <w:t xml:space="preserve">En mérito de lo expuesto y sin más consideraciones, </w:t>
      </w:r>
      <w:r>
        <w:rPr>
          <w:rFonts w:ascii="Arial" w:eastAsiaTheme="minorHAnsi" w:hAnsi="Arial" w:cs="Arial"/>
          <w:b/>
          <w:sz w:val="22"/>
          <w:szCs w:val="22"/>
          <w:lang w:val="es-CO"/>
        </w:rPr>
        <w:t>EL INSPECTOR</w:t>
      </w:r>
      <w:r w:rsidRPr="00A1053A">
        <w:rPr>
          <w:rFonts w:ascii="Arial" w:eastAsiaTheme="minorHAnsi" w:hAnsi="Arial" w:cs="Arial"/>
          <w:b/>
          <w:sz w:val="22"/>
          <w:szCs w:val="22"/>
          <w:lang w:val="es-CO"/>
        </w:rPr>
        <w:t xml:space="preserve"> DE POLICÍA URBANA DE PRIMERA CATEGORÍA, EN APOYO AL PROCESO DE DESCONGESTIÓN </w:t>
      </w:r>
      <w:r w:rsidRPr="008C6C2E">
        <w:rPr>
          <w:rFonts w:ascii="Arial" w:eastAsiaTheme="minorHAnsi" w:hAnsi="Arial" w:cs="Arial"/>
          <w:sz w:val="22"/>
          <w:szCs w:val="22"/>
          <w:lang w:val="es-CO"/>
        </w:rPr>
        <w:t>en uso de sus funciones de policía y por autoridad de la Ley</w:t>
      </w:r>
      <w:r>
        <w:rPr>
          <w:rFonts w:ascii="Arial" w:eastAsiaTheme="minorHAnsi" w:hAnsi="Arial" w:cs="Arial"/>
          <w:sz w:val="22"/>
          <w:szCs w:val="22"/>
          <w:lang w:val="es-CO"/>
        </w:rPr>
        <w:t>.</w:t>
      </w:r>
    </w:p>
    <w:p w:rsidR="005F67F5" w:rsidRDefault="005F67F5" w:rsidP="005F67F5">
      <w:pPr>
        <w:rPr>
          <w:rFonts w:ascii="Arial" w:eastAsia="Arial Unicode MS" w:hAnsi="Arial" w:cs="Arial"/>
          <w:b/>
          <w:sz w:val="22"/>
          <w:szCs w:val="22"/>
          <w:lang w:val="es-CO"/>
        </w:rPr>
      </w:pPr>
    </w:p>
    <w:p w:rsidR="005F67F5" w:rsidRPr="008C6C2E" w:rsidRDefault="005F67F5" w:rsidP="005F67F5">
      <w:pPr>
        <w:rPr>
          <w:rFonts w:ascii="Arial" w:eastAsia="Arial Unicode MS" w:hAnsi="Arial" w:cs="Arial"/>
          <w:b/>
          <w:sz w:val="22"/>
          <w:szCs w:val="22"/>
          <w:lang w:val="es-CO"/>
        </w:rPr>
      </w:pPr>
    </w:p>
    <w:p w:rsidR="005F67F5" w:rsidRPr="008C6C2E" w:rsidRDefault="005F67F5" w:rsidP="005F67F5">
      <w:pPr>
        <w:jc w:val="center"/>
        <w:rPr>
          <w:rFonts w:ascii="Arial" w:eastAsia="Arial Unicode MS" w:hAnsi="Arial" w:cs="Arial"/>
          <w:b/>
          <w:sz w:val="22"/>
          <w:szCs w:val="22"/>
          <w:lang w:val="es-CO"/>
        </w:rPr>
      </w:pPr>
      <w:r w:rsidRPr="008C6C2E">
        <w:rPr>
          <w:rFonts w:ascii="Arial" w:eastAsia="Arial Unicode MS" w:hAnsi="Arial" w:cs="Arial"/>
          <w:b/>
          <w:sz w:val="22"/>
          <w:szCs w:val="22"/>
          <w:lang w:val="es-CO"/>
        </w:rPr>
        <w:t>RESUELVE</w:t>
      </w:r>
    </w:p>
    <w:p w:rsidR="005F67F5" w:rsidRPr="008C6C2E" w:rsidRDefault="005F67F5" w:rsidP="005F67F5">
      <w:pPr>
        <w:spacing w:after="200" w:line="276" w:lineRule="auto"/>
        <w:jc w:val="both"/>
        <w:rPr>
          <w:rFonts w:ascii="Arial" w:eastAsia="Arial Unicode MS" w:hAnsi="Arial" w:cs="Arial"/>
          <w:b/>
          <w:sz w:val="22"/>
          <w:szCs w:val="22"/>
          <w:lang w:val="es-CO"/>
        </w:rPr>
      </w:pPr>
    </w:p>
    <w:p w:rsidR="005F67F5" w:rsidRPr="008C6C2E" w:rsidRDefault="005F67F5" w:rsidP="005F67F5">
      <w:pPr>
        <w:jc w:val="both"/>
        <w:rPr>
          <w:rFonts w:ascii="Arial" w:eastAsia="Calibri" w:hAnsi="Arial" w:cs="Arial"/>
          <w:sz w:val="22"/>
          <w:szCs w:val="22"/>
          <w:lang w:val="es-CO"/>
        </w:rPr>
      </w:pPr>
      <w:r w:rsidRPr="008C6C2E">
        <w:rPr>
          <w:rFonts w:ascii="Arial" w:eastAsia="Arial Unicode MS" w:hAnsi="Arial" w:cs="Arial"/>
          <w:b/>
          <w:sz w:val="22"/>
          <w:szCs w:val="22"/>
          <w:lang w:val="es-CO"/>
        </w:rPr>
        <w:t xml:space="preserve">ARTÍCULO PRIMERO: DECLARAR LA CADUCIDAD </w:t>
      </w:r>
      <w:r w:rsidRPr="008C6C2E">
        <w:rPr>
          <w:rFonts w:ascii="Arial" w:eastAsia="Arial Unicode MS" w:hAnsi="Arial" w:cs="Arial"/>
          <w:sz w:val="22"/>
          <w:szCs w:val="22"/>
          <w:lang w:val="es-CO"/>
        </w:rPr>
        <w:t xml:space="preserve">para imponer una medida correctiva en contra </w:t>
      </w:r>
      <w:r>
        <w:rPr>
          <w:rFonts w:ascii="Arial" w:eastAsia="Arial Unicode MS" w:hAnsi="Arial" w:cs="Arial"/>
          <w:sz w:val="22"/>
          <w:szCs w:val="22"/>
          <w:lang w:val="es-CO"/>
        </w:rPr>
        <w:t xml:space="preserve">del </w:t>
      </w:r>
      <w:r w:rsidRPr="006F6606">
        <w:rPr>
          <w:rFonts w:ascii="Arial" w:eastAsia="MS Mincho" w:hAnsi="Arial" w:cs="Arial"/>
          <w:sz w:val="22"/>
          <w:szCs w:val="22"/>
          <w:lang w:val="es-CO"/>
        </w:rPr>
        <w:t xml:space="preserve">señor </w:t>
      </w:r>
      <w:r w:rsidR="00372731">
        <w:rPr>
          <w:rFonts w:ascii="Arial" w:hAnsi="Arial" w:cs="Arial"/>
          <w:b/>
          <w:sz w:val="22"/>
          <w:szCs w:val="22"/>
          <w:lang w:val="es-CO"/>
        </w:rPr>
        <w:t>ESTIVEN ANDRES POSADA</w:t>
      </w:r>
      <w:r w:rsidRPr="006F6606">
        <w:rPr>
          <w:rFonts w:ascii="Arial" w:hAnsi="Arial" w:cs="Arial"/>
          <w:sz w:val="22"/>
          <w:szCs w:val="22"/>
          <w:lang w:val="es-CO"/>
        </w:rPr>
        <w:t>, en calidad de</w:t>
      </w:r>
      <w:r>
        <w:rPr>
          <w:rFonts w:ascii="Arial" w:hAnsi="Arial" w:cs="Arial"/>
          <w:sz w:val="22"/>
          <w:szCs w:val="22"/>
          <w:lang w:val="es-CO"/>
        </w:rPr>
        <w:t xml:space="preserve"> presunt</w:t>
      </w:r>
      <w:r w:rsidR="00372731">
        <w:rPr>
          <w:rFonts w:ascii="Arial" w:hAnsi="Arial" w:cs="Arial"/>
          <w:sz w:val="22"/>
          <w:szCs w:val="22"/>
          <w:lang w:val="es-CO"/>
        </w:rPr>
        <w:t>o</w:t>
      </w:r>
      <w:r w:rsidRPr="006F6606">
        <w:rPr>
          <w:rFonts w:ascii="Arial" w:hAnsi="Arial" w:cs="Arial"/>
          <w:sz w:val="22"/>
          <w:szCs w:val="22"/>
          <w:lang w:val="es-CO"/>
        </w:rPr>
        <w:t xml:space="preserve"> infractor</w:t>
      </w:r>
      <w:r>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dentro de las actuaciones administrativas</w:t>
      </w:r>
      <w:r w:rsidRPr="008C6C2E">
        <w:rPr>
          <w:rFonts w:ascii="Arial" w:hAnsi="Arial" w:cs="Arial"/>
          <w:sz w:val="22"/>
          <w:szCs w:val="22"/>
          <w:lang w:val="es-CO"/>
        </w:rPr>
        <w:t xml:space="preserve"> del Proceso Verbal Abreviado s</w:t>
      </w:r>
      <w:r>
        <w:rPr>
          <w:rFonts w:ascii="Arial" w:hAnsi="Arial" w:cs="Arial"/>
          <w:sz w:val="22"/>
          <w:szCs w:val="22"/>
          <w:lang w:val="es-CO"/>
        </w:rPr>
        <w:t>egún expediente con radicado No</w:t>
      </w:r>
      <w:r w:rsidRPr="00CA3C0D">
        <w:rPr>
          <w:rFonts w:ascii="Arial" w:hAnsi="Arial" w:cs="Arial"/>
          <w:sz w:val="22"/>
          <w:szCs w:val="22"/>
          <w:lang w:val="es-CO"/>
        </w:rPr>
        <w:t>.</w:t>
      </w:r>
      <w:r>
        <w:rPr>
          <w:rFonts w:ascii="Arial" w:hAnsi="Arial" w:cs="Arial"/>
          <w:sz w:val="22"/>
          <w:szCs w:val="22"/>
          <w:lang w:val="es-CO"/>
        </w:rPr>
        <w:t xml:space="preserve"> </w:t>
      </w:r>
      <w:r w:rsidR="00372731">
        <w:rPr>
          <w:rFonts w:ascii="Arial" w:hAnsi="Arial" w:cs="Arial"/>
          <w:b/>
          <w:sz w:val="22"/>
          <w:szCs w:val="22"/>
          <w:lang w:val="es-CO"/>
        </w:rPr>
        <w:t>2</w:t>
      </w:r>
      <w:r w:rsidRPr="006D540C">
        <w:rPr>
          <w:rFonts w:ascii="Arial" w:hAnsi="Arial" w:cs="Arial"/>
          <w:b/>
          <w:sz w:val="22"/>
          <w:szCs w:val="22"/>
          <w:lang w:val="es-CO"/>
        </w:rPr>
        <w:t>-</w:t>
      </w:r>
      <w:r w:rsidR="00372731">
        <w:rPr>
          <w:rFonts w:ascii="Arial" w:hAnsi="Arial" w:cs="Arial"/>
          <w:b/>
          <w:sz w:val="22"/>
          <w:szCs w:val="22"/>
          <w:lang w:val="es-CO"/>
        </w:rPr>
        <w:t>17751</w:t>
      </w:r>
      <w:r>
        <w:rPr>
          <w:rFonts w:ascii="Arial" w:hAnsi="Arial" w:cs="Arial"/>
          <w:b/>
          <w:sz w:val="22"/>
          <w:szCs w:val="22"/>
          <w:lang w:val="es-CO"/>
        </w:rPr>
        <w:t>-</w:t>
      </w:r>
      <w:r w:rsidR="00372731">
        <w:rPr>
          <w:rFonts w:ascii="Arial" w:hAnsi="Arial" w:cs="Arial"/>
          <w:b/>
          <w:sz w:val="22"/>
          <w:szCs w:val="22"/>
          <w:lang w:val="es-CO"/>
        </w:rPr>
        <w:t>20</w:t>
      </w:r>
      <w:r w:rsidRPr="006F6606">
        <w:rPr>
          <w:rFonts w:ascii="Arial" w:hAnsi="Arial" w:cs="Arial"/>
          <w:sz w:val="22"/>
          <w:szCs w:val="22"/>
          <w:lang w:val="es-CO"/>
        </w:rPr>
        <w:t xml:space="preserve">, </w:t>
      </w:r>
      <w:r w:rsidRPr="006D540C">
        <w:rPr>
          <w:rFonts w:ascii="Arial" w:hAnsi="Arial" w:cs="Arial"/>
          <w:sz w:val="22"/>
          <w:szCs w:val="22"/>
          <w:lang w:val="es-CO"/>
        </w:rPr>
        <w:t>día</w:t>
      </w:r>
      <w:r w:rsidRPr="006D540C">
        <w:rPr>
          <w:rFonts w:ascii="Arial" w:hAnsi="Arial" w:cs="Arial"/>
          <w:b/>
          <w:sz w:val="22"/>
          <w:szCs w:val="22"/>
          <w:lang w:val="es-CO"/>
        </w:rPr>
        <w:t xml:space="preserve"> </w:t>
      </w:r>
      <w:r w:rsidR="00845875">
        <w:rPr>
          <w:rFonts w:ascii="Arial" w:hAnsi="Arial" w:cs="Arial"/>
          <w:b/>
          <w:sz w:val="22"/>
          <w:szCs w:val="22"/>
          <w:lang w:val="es-CO"/>
        </w:rPr>
        <w:t>13</w:t>
      </w:r>
      <w:r>
        <w:rPr>
          <w:rFonts w:ascii="Arial" w:hAnsi="Arial" w:cs="Arial"/>
          <w:b/>
          <w:sz w:val="22"/>
          <w:szCs w:val="22"/>
          <w:lang w:val="es-CO"/>
        </w:rPr>
        <w:t xml:space="preserve"> DE </w:t>
      </w:r>
      <w:r w:rsidR="00845875">
        <w:rPr>
          <w:rFonts w:ascii="Arial" w:hAnsi="Arial" w:cs="Arial"/>
          <w:b/>
          <w:sz w:val="22"/>
          <w:szCs w:val="22"/>
          <w:lang w:val="es-CO"/>
        </w:rPr>
        <w:t>JULIO</w:t>
      </w:r>
      <w:r>
        <w:rPr>
          <w:rFonts w:ascii="Arial" w:hAnsi="Arial" w:cs="Arial"/>
          <w:b/>
          <w:sz w:val="22"/>
          <w:szCs w:val="22"/>
          <w:lang w:val="es-CO"/>
        </w:rPr>
        <w:t xml:space="preserve"> DEL </w:t>
      </w:r>
      <w:r w:rsidR="00845875">
        <w:rPr>
          <w:rFonts w:ascii="Arial" w:hAnsi="Arial" w:cs="Arial"/>
          <w:b/>
          <w:sz w:val="22"/>
          <w:szCs w:val="22"/>
          <w:lang w:val="es-CO"/>
        </w:rPr>
        <w:t>2020</w:t>
      </w:r>
      <w:r w:rsidRPr="006F6606">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 xml:space="preserve">por presunta violación al </w:t>
      </w:r>
      <w:r w:rsidRPr="0036077A">
        <w:rPr>
          <w:rFonts w:ascii="Arial" w:hAnsi="Arial" w:cs="Arial"/>
          <w:b/>
          <w:sz w:val="22"/>
          <w:szCs w:val="22"/>
          <w:lang w:val="es-CO"/>
        </w:rPr>
        <w:t xml:space="preserve">ARTÍCULO 135 LITERAL </w:t>
      </w:r>
      <w:r>
        <w:rPr>
          <w:rFonts w:ascii="Arial" w:hAnsi="Arial" w:cs="Arial"/>
          <w:b/>
          <w:sz w:val="22"/>
          <w:szCs w:val="22"/>
          <w:lang w:val="es-CO"/>
        </w:rPr>
        <w:t>A</w:t>
      </w:r>
      <w:r w:rsidRPr="0036077A">
        <w:rPr>
          <w:rFonts w:ascii="Arial" w:hAnsi="Arial" w:cs="Arial"/>
          <w:b/>
          <w:sz w:val="22"/>
          <w:szCs w:val="22"/>
          <w:lang w:val="es-CO"/>
        </w:rPr>
        <w:t xml:space="preserve"> NUMERAL </w:t>
      </w:r>
      <w:r>
        <w:rPr>
          <w:rFonts w:ascii="Arial" w:hAnsi="Arial" w:cs="Arial"/>
          <w:b/>
          <w:sz w:val="22"/>
          <w:szCs w:val="22"/>
          <w:lang w:val="es-CO"/>
        </w:rPr>
        <w:t>4</w:t>
      </w:r>
      <w:r w:rsidRPr="0036077A">
        <w:rPr>
          <w:rFonts w:ascii="Arial" w:hAnsi="Arial" w:cs="Arial"/>
          <w:b/>
          <w:sz w:val="22"/>
          <w:szCs w:val="22"/>
          <w:lang w:val="es-CO"/>
        </w:rPr>
        <w:t xml:space="preserve"> DE LEY 1801 DE 2016</w:t>
      </w:r>
      <w:r w:rsidRPr="008C6C2E">
        <w:rPr>
          <w:rFonts w:ascii="Arial" w:hAnsi="Arial" w:cs="Arial"/>
          <w:color w:val="000000" w:themeColor="text1"/>
          <w:sz w:val="22"/>
          <w:szCs w:val="22"/>
          <w:lang w:val="es-CO"/>
        </w:rPr>
        <w:t xml:space="preserve"> </w:t>
      </w:r>
      <w:r w:rsidRPr="008C6C2E">
        <w:rPr>
          <w:rFonts w:ascii="Arial" w:eastAsia="Arial Unicode MS" w:hAnsi="Arial" w:cs="Arial"/>
          <w:sz w:val="22"/>
          <w:szCs w:val="22"/>
          <w:lang w:val="es-CO"/>
        </w:rPr>
        <w:t xml:space="preserve">de la infracción urbanística acerca del inmueble ubicado </w:t>
      </w:r>
      <w:r w:rsidRPr="006F6606">
        <w:rPr>
          <w:rFonts w:ascii="Arial" w:hAnsi="Arial" w:cs="Arial"/>
          <w:sz w:val="22"/>
          <w:szCs w:val="22"/>
          <w:lang w:val="es-CO"/>
        </w:rPr>
        <w:t xml:space="preserve">en la </w:t>
      </w:r>
      <w:r w:rsidR="00845875">
        <w:rPr>
          <w:rFonts w:ascii="Arial" w:hAnsi="Arial" w:cs="Arial"/>
          <w:b/>
          <w:sz w:val="22"/>
          <w:szCs w:val="22"/>
          <w:lang w:val="es-CO"/>
        </w:rPr>
        <w:t>CARRERA 39 No. 82 - 142</w:t>
      </w:r>
      <w:r w:rsidRPr="006D540C">
        <w:rPr>
          <w:rFonts w:ascii="Arial" w:hAnsi="Arial" w:cs="Arial"/>
          <w:b/>
          <w:sz w:val="22"/>
          <w:szCs w:val="22"/>
          <w:lang w:val="es-CO"/>
        </w:rPr>
        <w:t xml:space="preserve">, </w:t>
      </w:r>
      <w:r>
        <w:rPr>
          <w:rFonts w:ascii="Arial" w:hAnsi="Arial" w:cs="Arial"/>
          <w:sz w:val="22"/>
          <w:szCs w:val="22"/>
          <w:lang w:val="es-CO"/>
        </w:rPr>
        <w:t>,</w:t>
      </w:r>
      <w:r w:rsidRPr="008C6C2E">
        <w:rPr>
          <w:rFonts w:ascii="Arial" w:hAnsi="Arial" w:cs="Arial"/>
          <w:sz w:val="22"/>
          <w:szCs w:val="22"/>
          <w:lang w:val="es-CO"/>
        </w:rPr>
        <w:t xml:space="preserve"> en virtud en lo previsto en </w:t>
      </w:r>
      <w:r w:rsidRPr="008C6C2E">
        <w:rPr>
          <w:rFonts w:ascii="Arial" w:eastAsia="Calibri" w:hAnsi="Arial" w:cs="Arial"/>
          <w:sz w:val="22"/>
          <w:szCs w:val="22"/>
          <w:lang w:val="es-CO"/>
        </w:rPr>
        <w:t xml:space="preserve">Artículo 138 de la Ley antes mencionada </w:t>
      </w:r>
      <w:r w:rsidRPr="008C6C2E">
        <w:rPr>
          <w:rFonts w:ascii="Arial" w:eastAsia="Calibri" w:hAnsi="Arial" w:cs="Arial"/>
          <w:b/>
          <w:sz w:val="22"/>
          <w:szCs w:val="22"/>
          <w:lang w:val="es-CO"/>
        </w:rPr>
        <w:t>“</w:t>
      </w:r>
      <w:r w:rsidRPr="008C6C2E">
        <w:rPr>
          <w:rFonts w:ascii="Arial" w:eastAsia="Calibri"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eastAsia="Calibri" w:hAnsi="Arial" w:cs="Arial"/>
          <w:b/>
          <w:sz w:val="22"/>
          <w:szCs w:val="22"/>
          <w:lang w:val="es-CO"/>
        </w:rPr>
        <w:t>”.</w:t>
      </w:r>
    </w:p>
    <w:p w:rsidR="005F67F5" w:rsidRPr="008C6C2E" w:rsidRDefault="005F67F5" w:rsidP="005F67F5">
      <w:pPr>
        <w:ind w:left="-142"/>
        <w:jc w:val="center"/>
        <w:rPr>
          <w:rFonts w:ascii="Arial" w:eastAsia="Arial Unicode MS" w:hAnsi="Arial" w:cs="Arial"/>
          <w:b/>
          <w:sz w:val="22"/>
          <w:szCs w:val="22"/>
          <w:lang w:val="es-CO"/>
        </w:rPr>
      </w:pPr>
    </w:p>
    <w:p w:rsidR="005F67F5" w:rsidRPr="00E97B39" w:rsidRDefault="005F67F5" w:rsidP="005F67F5">
      <w:pPr>
        <w:widowControl w:val="0"/>
        <w:jc w:val="both"/>
        <w:rPr>
          <w:rFonts w:ascii="Arial" w:hAnsi="Arial" w:cs="Arial"/>
          <w:sz w:val="22"/>
          <w:szCs w:val="22"/>
          <w:lang w:val="es-CO"/>
        </w:rPr>
      </w:pPr>
      <w:r w:rsidRPr="008C6C2E">
        <w:rPr>
          <w:rFonts w:ascii="Arial" w:hAnsi="Arial" w:cs="Arial"/>
          <w:b/>
          <w:sz w:val="22"/>
          <w:szCs w:val="22"/>
          <w:lang w:val="es-CO"/>
        </w:rPr>
        <w:t xml:space="preserve">ARTÍCULO SEGUNDO: </w:t>
      </w:r>
      <w:r w:rsidRPr="00E97B39">
        <w:rPr>
          <w:rFonts w:ascii="Arial" w:hAnsi="Arial" w:cs="Arial"/>
          <w:sz w:val="22"/>
          <w:szCs w:val="22"/>
          <w:lang w:val="es-CO"/>
        </w:rPr>
        <w:t>en cuanto a la presunta construcción sobre espacio público, el despacho ordena compulsar copias para que se inicie por cuerda separada la investigación sobre la misma, ya que como se dijo anteriormente la ocupación sobre los bienes de uso</w:t>
      </w:r>
      <w:r>
        <w:rPr>
          <w:rFonts w:ascii="Arial" w:hAnsi="Arial" w:cs="Arial"/>
          <w:sz w:val="22"/>
          <w:szCs w:val="22"/>
          <w:lang w:val="es-CO"/>
        </w:rPr>
        <w:t xml:space="preserve"> público no tienen término de caducidad.</w:t>
      </w:r>
      <w:r w:rsidRPr="00E97B39">
        <w:rPr>
          <w:rFonts w:ascii="Arial" w:hAnsi="Arial" w:cs="Arial"/>
          <w:sz w:val="22"/>
          <w:szCs w:val="22"/>
          <w:lang w:val="es-CO"/>
        </w:rPr>
        <w:t xml:space="preserve">   </w:t>
      </w:r>
    </w:p>
    <w:p w:rsidR="005F67F5" w:rsidRDefault="005F67F5" w:rsidP="005F67F5">
      <w:pPr>
        <w:widowControl w:val="0"/>
        <w:jc w:val="both"/>
        <w:rPr>
          <w:rFonts w:ascii="Arial" w:hAnsi="Arial" w:cs="Arial"/>
          <w:b/>
          <w:sz w:val="22"/>
          <w:szCs w:val="22"/>
          <w:lang w:val="es-CO"/>
        </w:rPr>
      </w:pPr>
    </w:p>
    <w:p w:rsidR="005F67F5" w:rsidRDefault="005F67F5" w:rsidP="005F67F5">
      <w:pPr>
        <w:widowControl w:val="0"/>
        <w:jc w:val="both"/>
        <w:rPr>
          <w:rFonts w:ascii="Arial" w:hAnsi="Arial" w:cs="Arial"/>
          <w:sz w:val="22"/>
          <w:szCs w:val="22"/>
          <w:lang w:val="es-CO"/>
        </w:rPr>
      </w:pPr>
      <w:r>
        <w:rPr>
          <w:rFonts w:ascii="Arial" w:hAnsi="Arial" w:cs="Arial"/>
          <w:b/>
          <w:sz w:val="22"/>
          <w:szCs w:val="22"/>
          <w:lang w:val="es-CO"/>
        </w:rPr>
        <w:t xml:space="preserve">ARTICULO TERCERO: </w:t>
      </w:r>
      <w:r w:rsidRPr="008C6C2E">
        <w:rPr>
          <w:rFonts w:ascii="Arial" w:hAnsi="Arial" w:cs="Arial"/>
          <w:b/>
          <w:sz w:val="22"/>
          <w:szCs w:val="22"/>
          <w:lang w:val="es-CO"/>
        </w:rPr>
        <w:t>INDICAR</w:t>
      </w:r>
      <w:r>
        <w:rPr>
          <w:rFonts w:ascii="Arial" w:hAnsi="Arial" w:cs="Arial"/>
          <w:b/>
          <w:sz w:val="22"/>
          <w:szCs w:val="22"/>
          <w:lang w:val="es-CO"/>
        </w:rPr>
        <w:t xml:space="preserve"> </w:t>
      </w:r>
      <w:r w:rsidRPr="00BF2CC4">
        <w:rPr>
          <w:rFonts w:ascii="Arial" w:hAnsi="Arial" w:cs="Arial"/>
          <w:sz w:val="22"/>
          <w:szCs w:val="22"/>
          <w:lang w:val="es-CO"/>
        </w:rPr>
        <w:t>que contra</w:t>
      </w:r>
      <w:r>
        <w:rPr>
          <w:rFonts w:ascii="Arial" w:hAnsi="Arial" w:cs="Arial"/>
          <w:sz w:val="22"/>
          <w:szCs w:val="22"/>
          <w:lang w:val="es-CO"/>
        </w:rPr>
        <w:t xml:space="preserve"> la</w:t>
      </w:r>
      <w:r w:rsidRPr="00BF2CC4">
        <w:rPr>
          <w:rFonts w:ascii="Arial" w:hAnsi="Arial" w:cs="Arial"/>
          <w:sz w:val="22"/>
          <w:szCs w:val="22"/>
          <w:lang w:val="es-CO"/>
        </w:rPr>
        <w:t xml:space="preserve"> presente decisión procede el recurso de reposición, interpuesto ante este despacho, dentro de los 10 días siguientes a la notificación de la misma</w:t>
      </w:r>
      <w:r>
        <w:rPr>
          <w:rFonts w:ascii="Arial" w:hAnsi="Arial" w:cs="Arial"/>
          <w:sz w:val="22"/>
          <w:szCs w:val="22"/>
          <w:lang w:val="es-CO"/>
        </w:rPr>
        <w:t>, de conformidad con el artículo 76 del código de procedimiento y de lo contencioso administrativo.</w:t>
      </w:r>
    </w:p>
    <w:p w:rsidR="005F67F5" w:rsidRDefault="005F67F5" w:rsidP="005F67F5">
      <w:pPr>
        <w:widowControl w:val="0"/>
        <w:jc w:val="both"/>
        <w:rPr>
          <w:rFonts w:ascii="Arial" w:hAnsi="Arial" w:cs="Arial"/>
          <w:sz w:val="22"/>
          <w:szCs w:val="22"/>
          <w:lang w:val="es-CO"/>
        </w:rPr>
      </w:pPr>
    </w:p>
    <w:p w:rsidR="005F67F5" w:rsidRDefault="005F67F5" w:rsidP="005F67F5">
      <w:pPr>
        <w:widowControl w:val="0"/>
        <w:jc w:val="both"/>
        <w:rPr>
          <w:rFonts w:ascii="Arial" w:hAnsi="Arial" w:cs="Arial"/>
          <w:sz w:val="22"/>
          <w:szCs w:val="22"/>
          <w:lang w:val="es-CO"/>
        </w:rPr>
      </w:pPr>
      <w:r w:rsidRPr="00836043">
        <w:rPr>
          <w:rFonts w:ascii="Arial" w:hAnsi="Arial" w:cs="Arial"/>
          <w:b/>
          <w:sz w:val="22"/>
          <w:szCs w:val="22"/>
          <w:lang w:val="es-CO"/>
        </w:rPr>
        <w:t xml:space="preserve">ARTICULO </w:t>
      </w:r>
      <w:r>
        <w:rPr>
          <w:rFonts w:ascii="Arial" w:hAnsi="Arial" w:cs="Arial"/>
          <w:b/>
          <w:sz w:val="22"/>
          <w:szCs w:val="22"/>
          <w:lang w:val="es-CO"/>
        </w:rPr>
        <w:t>CUARTO</w:t>
      </w:r>
      <w:r>
        <w:rPr>
          <w:rFonts w:ascii="Arial" w:hAnsi="Arial" w:cs="Arial"/>
          <w:sz w:val="22"/>
          <w:szCs w:val="22"/>
          <w:lang w:val="es-CO"/>
        </w:rPr>
        <w:t xml:space="preserve">: que una vez debidamente notificado y ejecutoriado, el presente acto administrativo pase al archivo del despacho, previas las </w:t>
      </w:r>
      <w:proofErr w:type="spellStart"/>
      <w:r>
        <w:rPr>
          <w:rFonts w:ascii="Arial" w:hAnsi="Arial" w:cs="Arial"/>
          <w:sz w:val="22"/>
          <w:szCs w:val="22"/>
          <w:lang w:val="es-CO"/>
        </w:rPr>
        <w:t>desanotaciones</w:t>
      </w:r>
      <w:proofErr w:type="spellEnd"/>
      <w:r>
        <w:rPr>
          <w:rFonts w:ascii="Arial" w:hAnsi="Arial" w:cs="Arial"/>
          <w:sz w:val="22"/>
          <w:szCs w:val="22"/>
          <w:lang w:val="es-CO"/>
        </w:rPr>
        <w:t xml:space="preserve"> legales.</w:t>
      </w:r>
    </w:p>
    <w:p w:rsidR="005F67F5" w:rsidRDefault="005F67F5" w:rsidP="005F67F5">
      <w:pPr>
        <w:widowControl w:val="0"/>
        <w:jc w:val="both"/>
        <w:rPr>
          <w:rFonts w:ascii="Arial" w:hAnsi="Arial" w:cs="Arial"/>
          <w:sz w:val="22"/>
          <w:szCs w:val="22"/>
          <w:lang w:val="es-CO"/>
        </w:rPr>
      </w:pPr>
      <w:r w:rsidRPr="00BF2CC4">
        <w:rPr>
          <w:rFonts w:ascii="Arial" w:hAnsi="Arial" w:cs="Arial"/>
          <w:sz w:val="22"/>
          <w:szCs w:val="22"/>
          <w:lang w:val="es-CO"/>
        </w:rPr>
        <w:t xml:space="preserve"> </w:t>
      </w:r>
    </w:p>
    <w:p w:rsidR="00845875" w:rsidRDefault="00845875" w:rsidP="005F67F5">
      <w:pPr>
        <w:widowControl w:val="0"/>
        <w:jc w:val="both"/>
        <w:rPr>
          <w:rFonts w:ascii="Arial" w:hAnsi="Arial" w:cs="Arial"/>
          <w:sz w:val="22"/>
          <w:szCs w:val="22"/>
          <w:lang w:val="es-CO"/>
        </w:rPr>
      </w:pPr>
    </w:p>
    <w:p w:rsidR="00845875" w:rsidRDefault="00845875" w:rsidP="005F67F5">
      <w:pPr>
        <w:widowControl w:val="0"/>
        <w:jc w:val="both"/>
        <w:rPr>
          <w:rFonts w:ascii="Arial" w:hAnsi="Arial" w:cs="Arial"/>
          <w:sz w:val="22"/>
          <w:szCs w:val="22"/>
          <w:lang w:val="es-CO"/>
        </w:rPr>
      </w:pPr>
    </w:p>
    <w:p w:rsidR="00845875" w:rsidRPr="00E97B39" w:rsidRDefault="00845875" w:rsidP="005F67F5">
      <w:pPr>
        <w:widowControl w:val="0"/>
        <w:jc w:val="both"/>
        <w:rPr>
          <w:rFonts w:ascii="Arial" w:hAnsi="Arial" w:cs="Arial"/>
          <w:sz w:val="22"/>
          <w:szCs w:val="22"/>
          <w:lang w:val="es-CO"/>
        </w:rPr>
      </w:pPr>
    </w:p>
    <w:p w:rsidR="005F67F5" w:rsidRPr="008C6C2E" w:rsidRDefault="005F67F5" w:rsidP="005F67F5">
      <w:pPr>
        <w:jc w:val="center"/>
        <w:rPr>
          <w:rFonts w:ascii="Arial" w:eastAsia="Arial Unicode MS" w:hAnsi="Arial" w:cs="Arial"/>
          <w:sz w:val="22"/>
          <w:szCs w:val="22"/>
          <w:lang w:val="es-CO"/>
        </w:rPr>
      </w:pPr>
      <w:r>
        <w:rPr>
          <w:rFonts w:ascii="Arial" w:eastAsia="Arial Unicode MS" w:hAnsi="Arial" w:cs="Arial"/>
          <w:b/>
          <w:sz w:val="22"/>
          <w:szCs w:val="22"/>
          <w:lang w:val="es-CO"/>
        </w:rPr>
        <w:t xml:space="preserve">NOTIFIQUESE Y </w:t>
      </w:r>
      <w:r w:rsidRPr="008C6C2E">
        <w:rPr>
          <w:rFonts w:ascii="Arial" w:eastAsia="Arial Unicode MS" w:hAnsi="Arial" w:cs="Arial"/>
          <w:b/>
          <w:sz w:val="22"/>
          <w:szCs w:val="22"/>
          <w:lang w:val="es-CO"/>
        </w:rPr>
        <w:t>CÚMPLASE</w:t>
      </w:r>
    </w:p>
    <w:p w:rsidR="005F67F5" w:rsidRPr="008C6C2E" w:rsidRDefault="005F67F5" w:rsidP="005F67F5">
      <w:pPr>
        <w:jc w:val="both"/>
        <w:rPr>
          <w:rFonts w:ascii="Arial" w:hAnsi="Arial" w:cs="Arial"/>
          <w:sz w:val="22"/>
          <w:szCs w:val="22"/>
          <w:lang w:val="es-CO"/>
        </w:rPr>
      </w:pPr>
    </w:p>
    <w:p w:rsidR="005F67F5" w:rsidRPr="008C6C2E" w:rsidRDefault="005F67F5" w:rsidP="005F67F5">
      <w:pPr>
        <w:rPr>
          <w:rFonts w:ascii="Arial" w:eastAsiaTheme="minorHAnsi"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Default="005F67F5" w:rsidP="005F67F5">
      <w:pPr>
        <w:rPr>
          <w:rFonts w:ascii="Arial" w:hAnsi="Arial" w:cs="Arial"/>
          <w:b/>
          <w:sz w:val="22"/>
          <w:szCs w:val="22"/>
          <w:lang w:val="es-CO"/>
        </w:rPr>
      </w:pPr>
    </w:p>
    <w:p w:rsidR="005F67F5" w:rsidRPr="008C6C2E" w:rsidRDefault="005F67F5" w:rsidP="005F67F5">
      <w:pPr>
        <w:rPr>
          <w:rFonts w:ascii="Arial" w:hAnsi="Arial" w:cs="Arial"/>
          <w:b/>
          <w:sz w:val="22"/>
          <w:szCs w:val="22"/>
          <w:lang w:val="es-CO"/>
        </w:rPr>
      </w:pPr>
    </w:p>
    <w:p w:rsidR="005F67F5" w:rsidRPr="008C6C2E" w:rsidRDefault="005F67F5" w:rsidP="005F67F5">
      <w:pPr>
        <w:jc w:val="center"/>
        <w:rPr>
          <w:rFonts w:ascii="Arial" w:hAnsi="Arial" w:cs="Arial"/>
          <w:b/>
          <w:sz w:val="22"/>
          <w:szCs w:val="22"/>
          <w:lang w:val="es-CO"/>
        </w:rPr>
      </w:pPr>
      <w:r>
        <w:rPr>
          <w:rFonts w:ascii="Arial" w:hAnsi="Arial" w:cs="Arial"/>
          <w:b/>
          <w:sz w:val="22"/>
          <w:szCs w:val="22"/>
          <w:lang w:val="es-CO"/>
        </w:rPr>
        <w:t>MAURICIO GONZALEZ LOPEZ</w:t>
      </w:r>
      <w:r w:rsidRPr="008C6C2E">
        <w:rPr>
          <w:rFonts w:ascii="Arial" w:hAnsi="Arial" w:cs="Arial"/>
          <w:b/>
          <w:sz w:val="22"/>
          <w:szCs w:val="22"/>
          <w:lang w:val="es-CO"/>
        </w:rPr>
        <w:t>.</w:t>
      </w:r>
      <w:bookmarkStart w:id="1" w:name="_Hlk39751695"/>
      <w:bookmarkEnd w:id="1"/>
    </w:p>
    <w:p w:rsidR="005F67F5" w:rsidRPr="008C6C2E" w:rsidRDefault="005F67F5" w:rsidP="005F67F5">
      <w:pPr>
        <w:jc w:val="center"/>
        <w:rPr>
          <w:rFonts w:ascii="Arial" w:hAnsi="Arial" w:cs="Arial"/>
          <w:sz w:val="22"/>
          <w:szCs w:val="22"/>
          <w:lang w:val="es-CO"/>
        </w:rPr>
      </w:pPr>
      <w:r>
        <w:rPr>
          <w:rFonts w:ascii="Arial" w:hAnsi="Arial" w:cs="Arial"/>
          <w:sz w:val="22"/>
          <w:szCs w:val="22"/>
          <w:lang w:val="es-CO"/>
        </w:rPr>
        <w:t>Inspector</w:t>
      </w:r>
      <w:r w:rsidRPr="008C6C2E">
        <w:rPr>
          <w:rFonts w:ascii="Arial" w:hAnsi="Arial" w:cs="Arial"/>
          <w:sz w:val="22"/>
          <w:szCs w:val="22"/>
          <w:lang w:val="es-CO"/>
        </w:rPr>
        <w:t xml:space="preserve"> de Policía Urbana</w:t>
      </w:r>
    </w:p>
    <w:p w:rsidR="005F67F5" w:rsidRPr="008C6C2E" w:rsidRDefault="005F67F5" w:rsidP="005F67F5">
      <w:pPr>
        <w:jc w:val="both"/>
        <w:rPr>
          <w:rFonts w:ascii="Arial" w:eastAsia="Times New Roman" w:hAnsi="Arial" w:cs="Arial"/>
          <w:sz w:val="22"/>
          <w:szCs w:val="22"/>
          <w:lang w:val="es-CO" w:eastAsia="es-MX"/>
        </w:rPr>
      </w:pPr>
      <w:r w:rsidRPr="008C6C2E">
        <w:rPr>
          <w:rFonts w:ascii="Arial" w:eastAsia="Times New Roman" w:hAnsi="Arial" w:cs="Arial"/>
          <w:sz w:val="22"/>
          <w:szCs w:val="22"/>
          <w:lang w:val="es-CO" w:eastAsia="es-MX"/>
        </w:rPr>
        <w:t>  </w:t>
      </w:r>
    </w:p>
    <w:p w:rsidR="005F67F5" w:rsidRPr="008C6C2E" w:rsidRDefault="005F67F5" w:rsidP="005F67F5">
      <w:pPr>
        <w:rPr>
          <w:rFonts w:ascii="Arial" w:hAnsi="Arial" w:cs="Arial"/>
          <w:sz w:val="22"/>
          <w:szCs w:val="22"/>
          <w:lang w:val="es-CO"/>
        </w:rPr>
      </w:pPr>
    </w:p>
    <w:p w:rsidR="005F67F5" w:rsidRPr="008C6C2E" w:rsidRDefault="005F67F5" w:rsidP="005F67F5">
      <w:pPr>
        <w:rPr>
          <w:rFonts w:ascii="Arial" w:hAnsi="Arial" w:cs="Arial"/>
          <w:sz w:val="22"/>
          <w:szCs w:val="22"/>
          <w:lang w:val="es-CO"/>
        </w:rPr>
      </w:pPr>
    </w:p>
    <w:p w:rsidR="00845875" w:rsidRDefault="00845875" w:rsidP="005F67F5">
      <w:pPr>
        <w:rPr>
          <w:rFonts w:ascii="Arial" w:hAnsi="Arial" w:cs="Arial"/>
          <w:sz w:val="22"/>
          <w:szCs w:val="22"/>
          <w:lang w:val="es-CO"/>
        </w:rPr>
      </w:pPr>
    </w:p>
    <w:p w:rsidR="00845875" w:rsidRDefault="00845875" w:rsidP="005F67F5">
      <w:pPr>
        <w:rPr>
          <w:rFonts w:ascii="Arial" w:hAnsi="Arial" w:cs="Arial"/>
          <w:sz w:val="22"/>
          <w:szCs w:val="22"/>
          <w:lang w:val="es-CO"/>
        </w:rPr>
      </w:pPr>
    </w:p>
    <w:p w:rsidR="00845875" w:rsidRDefault="00845875" w:rsidP="005F67F5">
      <w:pPr>
        <w:rPr>
          <w:rFonts w:ascii="Arial" w:hAnsi="Arial" w:cs="Arial"/>
          <w:sz w:val="22"/>
          <w:szCs w:val="22"/>
          <w:lang w:val="es-CO"/>
        </w:rPr>
      </w:pPr>
    </w:p>
    <w:p w:rsidR="00845875" w:rsidRDefault="00845875" w:rsidP="005F67F5">
      <w:pPr>
        <w:rPr>
          <w:rFonts w:ascii="Arial" w:hAnsi="Arial" w:cs="Arial"/>
          <w:sz w:val="22"/>
          <w:szCs w:val="22"/>
          <w:lang w:val="es-CO"/>
        </w:rPr>
      </w:pPr>
    </w:p>
    <w:p w:rsidR="00845875" w:rsidRDefault="00845875" w:rsidP="005F67F5">
      <w:pPr>
        <w:rPr>
          <w:rFonts w:ascii="Arial" w:hAnsi="Arial" w:cs="Arial"/>
          <w:sz w:val="22"/>
          <w:szCs w:val="22"/>
          <w:lang w:val="es-CO"/>
        </w:rPr>
      </w:pPr>
    </w:p>
    <w:p w:rsidR="005F67F5" w:rsidRDefault="005F67F5" w:rsidP="005F67F5">
      <w:pPr>
        <w:rPr>
          <w:rFonts w:ascii="Arial" w:hAnsi="Arial" w:cs="Arial"/>
          <w:sz w:val="22"/>
          <w:szCs w:val="22"/>
          <w:lang w:val="es-CO"/>
        </w:rPr>
      </w:pPr>
      <w:r>
        <w:rPr>
          <w:rFonts w:ascii="Arial" w:hAnsi="Arial" w:cs="Arial"/>
          <w:sz w:val="22"/>
          <w:szCs w:val="22"/>
          <w:lang w:val="es-CO"/>
        </w:rPr>
        <w:t xml:space="preserve">Notificación: En la fecha ___________________, hago personal notificación de la decisión anterior a las partes y para constancia firman: </w:t>
      </w: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r>
        <w:rPr>
          <w:rFonts w:ascii="Arial" w:hAnsi="Arial" w:cs="Arial"/>
          <w:sz w:val="22"/>
          <w:szCs w:val="22"/>
          <w:lang w:val="es-CO"/>
        </w:rPr>
        <w:t>El Notificado: ________________________________________</w:t>
      </w: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r>
        <w:rPr>
          <w:rFonts w:ascii="Arial" w:hAnsi="Arial" w:cs="Arial"/>
          <w:sz w:val="22"/>
          <w:szCs w:val="22"/>
          <w:lang w:val="es-CO"/>
        </w:rPr>
        <w:t>El Notificado: _________________________________________</w:t>
      </w: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Default="005F67F5" w:rsidP="005F67F5">
      <w:pPr>
        <w:rPr>
          <w:rFonts w:ascii="Arial" w:hAnsi="Arial" w:cs="Arial"/>
          <w:sz w:val="22"/>
          <w:szCs w:val="22"/>
          <w:lang w:val="es-CO"/>
        </w:rPr>
      </w:pPr>
    </w:p>
    <w:p w:rsidR="005F67F5" w:rsidRPr="008C6C2E" w:rsidRDefault="005F67F5" w:rsidP="005F67F5">
      <w:pPr>
        <w:jc w:val="center"/>
        <w:rPr>
          <w:rFonts w:ascii="Arial" w:hAnsi="Arial" w:cs="Arial"/>
          <w:b/>
          <w:sz w:val="22"/>
          <w:szCs w:val="22"/>
          <w:lang w:val="es-CO"/>
        </w:rPr>
      </w:pPr>
      <w:r>
        <w:rPr>
          <w:rFonts w:ascii="Arial" w:hAnsi="Arial" w:cs="Arial"/>
          <w:b/>
          <w:sz w:val="22"/>
          <w:szCs w:val="22"/>
          <w:lang w:val="es-CO"/>
        </w:rPr>
        <w:t>SANTIAGO PEREIRA HERNANDEZ</w:t>
      </w:r>
    </w:p>
    <w:p w:rsidR="005F67F5" w:rsidRPr="008C6C2E" w:rsidRDefault="005F67F5" w:rsidP="005F67F5">
      <w:pPr>
        <w:jc w:val="center"/>
        <w:rPr>
          <w:rFonts w:ascii="Arial" w:eastAsiaTheme="minorHAnsi" w:hAnsi="Arial" w:cs="Arial"/>
          <w:sz w:val="22"/>
          <w:szCs w:val="22"/>
          <w:lang w:val="es-CO"/>
        </w:rPr>
      </w:pPr>
      <w:r w:rsidRPr="008C6C2E">
        <w:rPr>
          <w:rFonts w:ascii="Arial" w:hAnsi="Arial" w:cs="Arial"/>
          <w:sz w:val="22"/>
          <w:szCs w:val="22"/>
          <w:lang w:val="es-CO"/>
        </w:rPr>
        <w:t>Secretari</w:t>
      </w:r>
      <w:r>
        <w:rPr>
          <w:rFonts w:ascii="Arial" w:hAnsi="Arial" w:cs="Arial"/>
          <w:sz w:val="22"/>
          <w:szCs w:val="22"/>
          <w:lang w:val="es-CO"/>
        </w:rPr>
        <w:t>o</w:t>
      </w:r>
      <w:r w:rsidRPr="008C6C2E">
        <w:rPr>
          <w:rFonts w:ascii="Arial" w:hAnsi="Arial" w:cs="Arial"/>
          <w:sz w:val="22"/>
          <w:szCs w:val="22"/>
          <w:lang w:val="es-CO"/>
        </w:rPr>
        <w:t xml:space="preserve"> </w:t>
      </w:r>
      <w:r>
        <w:rPr>
          <w:rFonts w:ascii="Arial" w:hAnsi="Arial" w:cs="Arial"/>
          <w:sz w:val="22"/>
          <w:szCs w:val="22"/>
          <w:lang w:val="es-CO"/>
        </w:rPr>
        <w:t>Contratista</w:t>
      </w:r>
    </w:p>
    <w:p w:rsidR="005F67F5" w:rsidRDefault="005F67F5" w:rsidP="005F67F5"/>
    <w:p w:rsidR="005F67F5" w:rsidRPr="00CD143A" w:rsidRDefault="005F67F5" w:rsidP="005F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5F67F5" w:rsidRDefault="005F67F5" w:rsidP="005F67F5">
      <w:pPr>
        <w:jc w:val="center"/>
        <w:rPr>
          <w:rFonts w:ascii="Arial" w:hAnsi="Arial" w:cs="Arial"/>
          <w:b/>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Default="005F67F5" w:rsidP="005F67F5">
      <w:pPr>
        <w:rPr>
          <w:rFonts w:ascii="Arial" w:hAnsi="Arial" w:cs="Arial"/>
          <w:sz w:val="20"/>
          <w:szCs w:val="20"/>
        </w:rPr>
      </w:pPr>
    </w:p>
    <w:p w:rsidR="005F67F5" w:rsidRPr="00670CCE" w:rsidRDefault="005F67F5" w:rsidP="005F67F5">
      <w:pPr>
        <w:rPr>
          <w:rFonts w:ascii="Arial" w:hAnsi="Arial" w:cs="Arial"/>
          <w:sz w:val="20"/>
          <w:szCs w:val="20"/>
        </w:rPr>
      </w:pPr>
    </w:p>
    <w:p w:rsidR="005F67F5" w:rsidRDefault="005F67F5" w:rsidP="005F67F5">
      <w:pPr>
        <w:rPr>
          <w:rFonts w:ascii="Arial" w:hAnsi="Arial" w:cs="Arial"/>
          <w:sz w:val="20"/>
          <w:szCs w:val="20"/>
        </w:rPr>
      </w:pPr>
    </w:p>
    <w:p w:rsidR="005F67F5" w:rsidRPr="00670CCE" w:rsidRDefault="005F67F5" w:rsidP="005F67F5">
      <w:pPr>
        <w:tabs>
          <w:tab w:val="left" w:pos="6330"/>
        </w:tabs>
        <w:rPr>
          <w:rFonts w:ascii="Arial" w:hAnsi="Arial" w:cs="Arial"/>
          <w:sz w:val="20"/>
          <w:szCs w:val="20"/>
        </w:rPr>
      </w:pPr>
      <w:r>
        <w:rPr>
          <w:rFonts w:ascii="Arial" w:hAnsi="Arial" w:cs="Arial"/>
          <w:sz w:val="20"/>
          <w:szCs w:val="20"/>
        </w:rPr>
        <w:tab/>
      </w:r>
    </w:p>
    <w:p w:rsidR="00A03C72" w:rsidRDefault="00A03C72" w:rsidP="008833BA"/>
    <w:p w:rsidR="00A03C72" w:rsidRPr="00CD143A" w:rsidRDefault="00A03C72" w:rsidP="00DC27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670CCE" w:rsidRDefault="00670CCE" w:rsidP="00200E2D">
      <w:pPr>
        <w:jc w:val="center"/>
        <w:rPr>
          <w:rFonts w:ascii="Arial" w:hAnsi="Arial" w:cs="Arial"/>
          <w:b/>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A03C72" w:rsidRPr="00670CCE" w:rsidRDefault="00670CCE" w:rsidP="00670CCE">
      <w:pPr>
        <w:tabs>
          <w:tab w:val="left" w:pos="6330"/>
        </w:tabs>
        <w:rPr>
          <w:rFonts w:ascii="Arial" w:hAnsi="Arial" w:cs="Arial"/>
          <w:sz w:val="20"/>
          <w:szCs w:val="20"/>
        </w:rPr>
      </w:pPr>
      <w:r>
        <w:rPr>
          <w:rFonts w:ascii="Arial" w:hAnsi="Arial" w:cs="Arial"/>
          <w:sz w:val="20"/>
          <w:szCs w:val="20"/>
        </w:rPr>
        <w:tab/>
      </w:r>
    </w:p>
    <w:sectPr w:rsidR="00A03C72" w:rsidRPr="00670CCE" w:rsidSect="00A03C72">
      <w:headerReference w:type="even" r:id="rId7"/>
      <w:headerReference w:type="default" r:id="rId8"/>
      <w:footerReference w:type="default" r:id="rId9"/>
      <w:headerReference w:type="first" r:id="rId10"/>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FBC" w:rsidRDefault="00481FBC" w:rsidP="005838D1">
      <w:r>
        <w:separator/>
      </w:r>
    </w:p>
  </w:endnote>
  <w:endnote w:type="continuationSeparator" w:id="0">
    <w:p w:rsidR="00481FBC" w:rsidRDefault="00481FBC"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FBC" w:rsidRDefault="00481FBC" w:rsidP="005838D1">
      <w:r>
        <w:separator/>
      </w:r>
    </w:p>
  </w:footnote>
  <w:footnote w:type="continuationSeparator" w:id="0">
    <w:p w:rsidR="00481FBC" w:rsidRDefault="00481FBC"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481FB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481FB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7F5"/>
    <w:rsid w:val="00000F51"/>
    <w:rsid w:val="00002486"/>
    <w:rsid w:val="0000634F"/>
    <w:rsid w:val="00016435"/>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72731"/>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81FBC"/>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5F67F5"/>
    <w:rsid w:val="00634AEC"/>
    <w:rsid w:val="00670CCE"/>
    <w:rsid w:val="00672155"/>
    <w:rsid w:val="00673847"/>
    <w:rsid w:val="0068158D"/>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45875"/>
    <w:rsid w:val="0085330B"/>
    <w:rsid w:val="00854284"/>
    <w:rsid w:val="00864032"/>
    <w:rsid w:val="008817EB"/>
    <w:rsid w:val="008833BA"/>
    <w:rsid w:val="00887AB6"/>
    <w:rsid w:val="00893E49"/>
    <w:rsid w:val="008945FD"/>
    <w:rsid w:val="008A641B"/>
    <w:rsid w:val="008B68CE"/>
    <w:rsid w:val="008B722B"/>
    <w:rsid w:val="008B7C54"/>
    <w:rsid w:val="008D1A08"/>
    <w:rsid w:val="008D2B6E"/>
    <w:rsid w:val="008D48C4"/>
    <w:rsid w:val="00914274"/>
    <w:rsid w:val="00927DD1"/>
    <w:rsid w:val="00952102"/>
    <w:rsid w:val="009554C4"/>
    <w:rsid w:val="0096725A"/>
    <w:rsid w:val="00982A53"/>
    <w:rsid w:val="0099373B"/>
    <w:rsid w:val="009A0D0A"/>
    <w:rsid w:val="009A1AAA"/>
    <w:rsid w:val="009A5A3C"/>
    <w:rsid w:val="009B389F"/>
    <w:rsid w:val="009C2835"/>
    <w:rsid w:val="009C7AB5"/>
    <w:rsid w:val="009D03E5"/>
    <w:rsid w:val="009D1975"/>
    <w:rsid w:val="009E5BA4"/>
    <w:rsid w:val="00A03C72"/>
    <w:rsid w:val="00A133BC"/>
    <w:rsid w:val="00A1761B"/>
    <w:rsid w:val="00A20A7D"/>
    <w:rsid w:val="00A20F60"/>
    <w:rsid w:val="00A27F00"/>
    <w:rsid w:val="00A32430"/>
    <w:rsid w:val="00A33215"/>
    <w:rsid w:val="00A34204"/>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E78AA793-6873-4DC2-AE98-E273A9652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7F5"/>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lang w:val="es-CO"/>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lang w:val="es-CO"/>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lang w:val="es-CO" w:eastAsia="es-CO"/>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37919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483EE-C812-4103-B58A-85E5CB9C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23</TotalTime>
  <Pages>10</Pages>
  <Words>4216</Words>
  <Characters>23190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De Jesus Gonzalez Lopez</dc:creator>
  <cp:lastModifiedBy>Mauricio De Jesus Gonzalez Lopez</cp:lastModifiedBy>
  <cp:revision>1</cp:revision>
  <cp:lastPrinted>2022-06-08T15:38:00Z</cp:lastPrinted>
  <dcterms:created xsi:type="dcterms:W3CDTF">2024-04-22T15:11:00Z</dcterms:created>
  <dcterms:modified xsi:type="dcterms:W3CDTF">2024-04-22T15:47:00Z</dcterms:modified>
</cp:coreProperties>
</file>