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570262">
        <w:rPr>
          <w:rFonts w:ascii="Arial" w:hAnsi="Arial" w:cs="Arial"/>
          <w:b/>
          <w:sz w:val="24"/>
          <w:szCs w:val="24"/>
          <w:lang w:val="es-CO"/>
        </w:rPr>
        <w:t>1</w:t>
      </w:r>
      <w:r w:rsidR="00982529">
        <w:rPr>
          <w:rFonts w:ascii="Arial" w:hAnsi="Arial" w:cs="Arial"/>
          <w:b/>
          <w:sz w:val="24"/>
          <w:szCs w:val="24"/>
          <w:lang w:val="es-CO"/>
        </w:rPr>
        <w:t>1</w:t>
      </w:r>
      <w:r w:rsidR="00E11283">
        <w:rPr>
          <w:rFonts w:ascii="Arial" w:hAnsi="Arial" w:cs="Arial"/>
          <w:b/>
          <w:sz w:val="24"/>
          <w:szCs w:val="24"/>
          <w:lang w:val="es-CO"/>
        </w:rPr>
        <w:t>4</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w:t>
      </w:r>
      <w:r w:rsidR="002251E1">
        <w:rPr>
          <w:rFonts w:ascii="Arial" w:hAnsi="Arial" w:cs="Arial"/>
          <w:b/>
          <w:sz w:val="24"/>
          <w:szCs w:val="24"/>
          <w:lang w:val="es-CO"/>
        </w:rPr>
        <w:t>iete</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982529">
        <w:rPr>
          <w:rFonts w:ascii="Arial" w:hAnsi="Arial" w:cs="Arial"/>
          <w:b/>
          <w:sz w:val="24"/>
          <w:szCs w:val="24"/>
          <w:lang w:val="es-CO"/>
        </w:rPr>
        <w:t>3</w:t>
      </w:r>
      <w:r w:rsidR="00683F20">
        <w:rPr>
          <w:rFonts w:ascii="Arial" w:hAnsi="Arial" w:cs="Arial"/>
          <w:b/>
          <w:sz w:val="24"/>
          <w:szCs w:val="24"/>
          <w:lang w:val="es-CO"/>
        </w:rPr>
        <w:t>3</w:t>
      </w:r>
      <w:r w:rsidR="00AE2FFE">
        <w:rPr>
          <w:rFonts w:ascii="Arial" w:hAnsi="Arial" w:cs="Arial"/>
          <w:b/>
          <w:sz w:val="24"/>
          <w:szCs w:val="24"/>
          <w:lang w:val="es-CO"/>
        </w:rPr>
        <w:t>422</w:t>
      </w:r>
      <w:r w:rsidR="00704278">
        <w:rPr>
          <w:rFonts w:ascii="Arial" w:hAnsi="Arial" w:cs="Arial"/>
          <w:b/>
          <w:sz w:val="24"/>
          <w:szCs w:val="24"/>
          <w:lang w:val="es-CO"/>
        </w:rPr>
        <w:t>-</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43033"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AE2FFE">
        <w:rPr>
          <w:rFonts w:ascii="Arial" w:hAnsi="Arial" w:cs="Arial"/>
          <w:b/>
          <w:sz w:val="24"/>
          <w:szCs w:val="24"/>
          <w:lang w:val="es-CO"/>
        </w:rPr>
        <w:t>PARROQUIA DE LA DIVINA PROVIDENCIA</w:t>
      </w:r>
      <w:r w:rsidR="00653918">
        <w:rPr>
          <w:rFonts w:ascii="Arial" w:hAnsi="Arial" w:cs="Arial"/>
          <w:b/>
          <w:sz w:val="24"/>
          <w:szCs w:val="24"/>
          <w:lang w:val="es-CO"/>
        </w:rPr>
        <w:tab/>
        <w:t xml:space="preserve">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AE2FFE">
        <w:rPr>
          <w:rFonts w:ascii="Arial" w:hAnsi="Arial" w:cs="Arial"/>
          <w:b/>
          <w:sz w:val="24"/>
          <w:szCs w:val="24"/>
          <w:lang w:val="es-CO"/>
        </w:rPr>
        <w:t>9300191745</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AE2FFE">
        <w:rPr>
          <w:rFonts w:ascii="Arial" w:hAnsi="Arial" w:cs="Arial"/>
          <w:b/>
          <w:sz w:val="24"/>
          <w:szCs w:val="24"/>
          <w:lang w:val="es-CO"/>
        </w:rPr>
        <w:t>lle 107E 43-21, Interior 201</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CD3015">
        <w:rPr>
          <w:rFonts w:ascii="Arial" w:hAnsi="Arial" w:cs="Arial"/>
          <w:sz w:val="24"/>
          <w:szCs w:val="24"/>
          <w:lang w:val="es-CO"/>
        </w:rPr>
        <w:t>3</w:t>
      </w:r>
      <w:r w:rsidR="00BA6F7D">
        <w:rPr>
          <w:rFonts w:ascii="Arial" w:hAnsi="Arial" w:cs="Arial"/>
          <w:sz w:val="24"/>
          <w:szCs w:val="24"/>
          <w:lang w:val="es-CO"/>
        </w:rPr>
        <w:t>3</w:t>
      </w:r>
      <w:r w:rsidR="00AE2FFE">
        <w:rPr>
          <w:rFonts w:ascii="Arial" w:hAnsi="Arial" w:cs="Arial"/>
          <w:sz w:val="24"/>
          <w:szCs w:val="24"/>
          <w:lang w:val="es-CO"/>
        </w:rPr>
        <w:t>422</w:t>
      </w:r>
      <w:r w:rsidR="001D2AF9">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CD3015">
        <w:rPr>
          <w:rFonts w:ascii="Arial" w:hAnsi="Arial" w:cs="Arial"/>
          <w:sz w:val="24"/>
          <w:szCs w:val="24"/>
          <w:lang w:val="es-CO"/>
        </w:rPr>
        <w:t>oficio 2020200</w:t>
      </w:r>
      <w:r w:rsidR="00AE2FFE">
        <w:rPr>
          <w:rFonts w:ascii="Arial" w:hAnsi="Arial" w:cs="Arial"/>
          <w:sz w:val="24"/>
          <w:szCs w:val="24"/>
          <w:lang w:val="es-CO"/>
        </w:rPr>
        <w:t>87721</w:t>
      </w:r>
      <w:r w:rsidR="00CD3015">
        <w:rPr>
          <w:rFonts w:ascii="Arial" w:hAnsi="Arial" w:cs="Arial"/>
          <w:sz w:val="24"/>
          <w:szCs w:val="24"/>
          <w:lang w:val="es-CO"/>
        </w:rPr>
        <w:t xml:space="preserve"> de fecha </w:t>
      </w:r>
      <w:r w:rsidR="00BA6F7D">
        <w:rPr>
          <w:rFonts w:ascii="Arial" w:hAnsi="Arial" w:cs="Arial"/>
          <w:sz w:val="24"/>
          <w:szCs w:val="24"/>
          <w:lang w:val="es-CO"/>
        </w:rPr>
        <w:t>novi</w:t>
      </w:r>
      <w:r w:rsidR="00CD3015">
        <w:rPr>
          <w:rFonts w:ascii="Arial" w:hAnsi="Arial" w:cs="Arial"/>
          <w:sz w:val="24"/>
          <w:szCs w:val="24"/>
          <w:lang w:val="es-CO"/>
        </w:rPr>
        <w:t xml:space="preserve">embre </w:t>
      </w:r>
      <w:r w:rsidR="00AE2FFE">
        <w:rPr>
          <w:rFonts w:ascii="Arial" w:hAnsi="Arial" w:cs="Arial"/>
          <w:sz w:val="24"/>
          <w:szCs w:val="24"/>
          <w:lang w:val="es-CO"/>
        </w:rPr>
        <w:t>04</w:t>
      </w:r>
      <w:r w:rsidR="00CD3015">
        <w:rPr>
          <w:rFonts w:ascii="Arial" w:hAnsi="Arial" w:cs="Arial"/>
          <w:sz w:val="24"/>
          <w:szCs w:val="24"/>
          <w:lang w:val="es-CO"/>
        </w:rPr>
        <w:t xml:space="preserve"> de 2020, de la Subsecretaría de Control Urbanístico</w:t>
      </w:r>
      <w:r w:rsidR="00213807">
        <w:rPr>
          <w:rFonts w:ascii="Arial" w:hAnsi="Arial" w:cs="Arial"/>
          <w:sz w:val="24"/>
          <w:szCs w:val="24"/>
          <w:lang w:val="es-CO"/>
        </w:rPr>
        <w:t>, donde</w:t>
      </w:r>
      <w:r w:rsidR="001D246B" w:rsidRPr="00F93E31">
        <w:rPr>
          <w:rFonts w:ascii="Arial" w:hAnsi="Arial" w:cs="Arial"/>
          <w:sz w:val="24"/>
          <w:szCs w:val="24"/>
          <w:lang w:val="es-CO"/>
        </w:rPr>
        <w:t xml:space="preserve"> se da cuenta de una construcción en el inmueble ubicado en la ca</w:t>
      </w:r>
      <w:r w:rsidR="00CD3015">
        <w:rPr>
          <w:rFonts w:ascii="Arial" w:hAnsi="Arial" w:cs="Arial"/>
          <w:sz w:val="24"/>
          <w:szCs w:val="24"/>
          <w:lang w:val="es-CO"/>
        </w:rPr>
        <w:t xml:space="preserve">lle </w:t>
      </w:r>
      <w:r w:rsidR="00AE2FFE">
        <w:rPr>
          <w:rFonts w:ascii="Arial" w:hAnsi="Arial" w:cs="Arial"/>
          <w:sz w:val="24"/>
          <w:szCs w:val="24"/>
          <w:lang w:val="es-CO"/>
        </w:rPr>
        <w:t>107E 43-21, Interior 201</w:t>
      </w:r>
      <w:bookmarkStart w:id="0" w:name="_GoBack"/>
      <w:bookmarkEnd w:id="0"/>
      <w:r w:rsidR="00BA6F7D">
        <w:rPr>
          <w:rFonts w:ascii="Arial" w:hAnsi="Arial" w:cs="Arial"/>
          <w:sz w:val="24"/>
          <w:szCs w:val="24"/>
          <w:lang w:val="es-CO"/>
        </w:rPr>
        <w:t>,</w:t>
      </w:r>
      <w:r w:rsidR="001D246B" w:rsidRPr="00F93E31">
        <w:rPr>
          <w:rFonts w:ascii="Arial" w:hAnsi="Arial" w:cs="Arial"/>
          <w:sz w:val="24"/>
          <w:szCs w:val="24"/>
          <w:lang w:val="es-CO"/>
        </w:rPr>
        <w:t xml:space="preserve"> de propiedad de</w:t>
      </w:r>
      <w:r w:rsidR="00BA6F7D">
        <w:rPr>
          <w:rFonts w:ascii="Arial" w:hAnsi="Arial" w:cs="Arial"/>
          <w:sz w:val="24"/>
          <w:szCs w:val="24"/>
          <w:lang w:val="es-CO"/>
        </w:rPr>
        <w:t xml:space="preserve"> la</w:t>
      </w:r>
      <w:r w:rsidR="007077BE" w:rsidRPr="00F93E31">
        <w:rPr>
          <w:rFonts w:ascii="Arial" w:hAnsi="Arial" w:cs="Arial"/>
          <w:sz w:val="24"/>
          <w:szCs w:val="24"/>
          <w:lang w:val="es-CO"/>
        </w:rPr>
        <w:t xml:space="preserve"> </w:t>
      </w:r>
      <w:r w:rsidR="00AE2FFE">
        <w:rPr>
          <w:rFonts w:ascii="Arial" w:hAnsi="Arial" w:cs="Arial"/>
          <w:b/>
          <w:sz w:val="24"/>
          <w:szCs w:val="24"/>
          <w:lang w:val="es-CO"/>
        </w:rPr>
        <w:t>PARROQUIA DE LA DIVINA PROVIDENCIA</w:t>
      </w:r>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BA6F7D">
        <w:rPr>
          <w:rFonts w:ascii="Arial" w:hAnsi="Arial" w:cs="Arial"/>
          <w:sz w:val="24"/>
          <w:szCs w:val="24"/>
          <w:lang w:val="es-CO"/>
        </w:rPr>
        <w:t>veintiocho</w:t>
      </w:r>
      <w:r w:rsidR="008D34B0">
        <w:rPr>
          <w:rFonts w:ascii="Arial" w:hAnsi="Arial" w:cs="Arial"/>
          <w:sz w:val="24"/>
          <w:szCs w:val="24"/>
          <w:lang w:val="es-CO"/>
        </w:rPr>
        <w:t xml:space="preserve"> </w:t>
      </w:r>
      <w:r w:rsidR="00E623AD" w:rsidRPr="00BE02E7">
        <w:rPr>
          <w:rFonts w:ascii="Arial" w:hAnsi="Arial" w:cs="Arial"/>
          <w:sz w:val="24"/>
          <w:szCs w:val="24"/>
          <w:lang w:val="es-CO"/>
        </w:rPr>
        <w:t>(</w:t>
      </w:r>
      <w:r w:rsidR="00BA6F7D">
        <w:rPr>
          <w:rFonts w:ascii="Arial" w:hAnsi="Arial" w:cs="Arial"/>
          <w:sz w:val="24"/>
          <w:szCs w:val="24"/>
          <w:lang w:val="es-CO"/>
        </w:rPr>
        <w:t>28</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BA6F7D">
        <w:rPr>
          <w:rFonts w:ascii="Arial" w:hAnsi="Arial" w:cs="Arial"/>
          <w:sz w:val="24"/>
          <w:szCs w:val="24"/>
          <w:lang w:val="es-CO"/>
        </w:rPr>
        <w:t xml:space="preserve">abril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2251E1">
        <w:rPr>
          <w:rFonts w:ascii="Arial" w:hAnsi="Arial" w:cs="Arial"/>
          <w:sz w:val="24"/>
          <w:szCs w:val="24"/>
          <w:lang w:val="es-CO"/>
        </w:rPr>
        <w:t>e</w:t>
      </w:r>
      <w:r w:rsidR="008D34B0">
        <w:rPr>
          <w:rFonts w:ascii="Arial" w:hAnsi="Arial" w:cs="Arial"/>
          <w:sz w:val="24"/>
          <w:szCs w:val="24"/>
          <w:lang w:val="es-CO"/>
        </w:rPr>
        <w:t xml:space="preserve"> </w:t>
      </w:r>
      <w:r w:rsidR="00E623AD" w:rsidRPr="00BE02E7">
        <w:rPr>
          <w:rFonts w:ascii="Arial" w:hAnsi="Arial" w:cs="Arial"/>
          <w:sz w:val="24"/>
          <w:szCs w:val="24"/>
          <w:lang w:val="es-CO"/>
        </w:rPr>
        <w:t>(20</w:t>
      </w:r>
      <w:r w:rsidRPr="00BE02E7">
        <w:rPr>
          <w:rFonts w:ascii="Arial" w:hAnsi="Arial" w:cs="Arial"/>
          <w:sz w:val="24"/>
          <w:szCs w:val="24"/>
          <w:lang w:val="es-CO"/>
        </w:rPr>
        <w:t>2</w:t>
      </w:r>
      <w:r w:rsidR="002251E1">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 xml:space="preserve">ículo 223 de </w:t>
      </w:r>
      <w:r w:rsidR="00BA6F7D">
        <w:rPr>
          <w:rFonts w:ascii="Arial" w:hAnsi="Arial" w:cs="Arial"/>
          <w:sz w:val="24"/>
          <w:szCs w:val="24"/>
          <w:lang w:val="es-CO"/>
        </w:rPr>
        <w:t>Ley 1801 de 2016</w:t>
      </w:r>
      <w:r w:rsidR="0022578C">
        <w:rPr>
          <w:rFonts w:ascii="Arial" w:hAnsi="Arial" w:cs="Arial"/>
          <w:sz w:val="24"/>
          <w:szCs w:val="24"/>
          <w:lang w:val="es-CO"/>
        </w:rPr>
        <w:t xml:space="preserve">;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E623AD" w:rsidRDefault="00E623AD" w:rsidP="00743850">
      <w:pPr>
        <w:pStyle w:val="Prrafodelista"/>
        <w:numPr>
          <w:ilvl w:val="0"/>
          <w:numId w:val="15"/>
        </w:numPr>
        <w:spacing w:after="0" w:line="240" w:lineRule="auto"/>
        <w:jc w:val="both"/>
        <w:rPr>
          <w:rFonts w:ascii="Arial" w:hAnsi="Arial" w:cs="Arial"/>
          <w:sz w:val="24"/>
          <w:szCs w:val="24"/>
          <w:lang w:val="es-CO"/>
        </w:rPr>
      </w:pPr>
      <w:r w:rsidRPr="00A232B0">
        <w:rPr>
          <w:rFonts w:ascii="Arial" w:hAnsi="Arial" w:cs="Arial"/>
          <w:sz w:val="24"/>
          <w:szCs w:val="24"/>
          <w:lang w:val="es-CO"/>
        </w:rPr>
        <w:t xml:space="preserve">Que hasta la fecha </w:t>
      </w:r>
      <w:r w:rsidR="007C3902" w:rsidRPr="00A232B0">
        <w:rPr>
          <w:rFonts w:ascii="Arial" w:hAnsi="Arial" w:cs="Arial"/>
          <w:sz w:val="24"/>
          <w:szCs w:val="24"/>
          <w:lang w:val="es-CO"/>
        </w:rPr>
        <w:t>1</w:t>
      </w:r>
      <w:r w:rsidR="002251E1" w:rsidRPr="00A232B0">
        <w:rPr>
          <w:rFonts w:ascii="Arial" w:hAnsi="Arial" w:cs="Arial"/>
          <w:sz w:val="24"/>
          <w:szCs w:val="24"/>
          <w:lang w:val="es-CO"/>
        </w:rPr>
        <w:t>7</w:t>
      </w:r>
      <w:r w:rsidRPr="00A232B0">
        <w:rPr>
          <w:rFonts w:ascii="Arial" w:hAnsi="Arial" w:cs="Arial"/>
          <w:sz w:val="24"/>
          <w:szCs w:val="24"/>
          <w:lang w:val="es-CO"/>
        </w:rPr>
        <w:t xml:space="preserve"> de </w:t>
      </w:r>
      <w:r w:rsidR="00BE02E7" w:rsidRPr="00A232B0">
        <w:rPr>
          <w:rFonts w:ascii="Arial" w:hAnsi="Arial" w:cs="Arial"/>
          <w:sz w:val="24"/>
          <w:szCs w:val="24"/>
          <w:lang w:val="es-CO"/>
        </w:rPr>
        <w:t>abril</w:t>
      </w:r>
      <w:r w:rsidR="00C8530D" w:rsidRPr="00A232B0">
        <w:rPr>
          <w:rFonts w:ascii="Arial" w:hAnsi="Arial" w:cs="Arial"/>
          <w:sz w:val="24"/>
          <w:szCs w:val="24"/>
          <w:lang w:val="es-CO"/>
        </w:rPr>
        <w:t xml:space="preserve"> de dos mil veinticuatro (2024)</w:t>
      </w:r>
      <w:r w:rsidRPr="00A232B0">
        <w:rPr>
          <w:rFonts w:ascii="Arial" w:hAnsi="Arial" w:cs="Arial"/>
          <w:sz w:val="24"/>
          <w:szCs w:val="24"/>
          <w:lang w:val="es-CO"/>
        </w:rPr>
        <w:t xml:space="preserve">, no se ha realizado actuación alguna frente al proceso por parte del </w:t>
      </w:r>
      <w:r w:rsidR="00C8530D" w:rsidRPr="00A232B0">
        <w:rPr>
          <w:rFonts w:ascii="Arial" w:hAnsi="Arial" w:cs="Arial"/>
          <w:sz w:val="24"/>
          <w:szCs w:val="24"/>
          <w:lang w:val="es-CO"/>
        </w:rPr>
        <w:t>D</w:t>
      </w:r>
      <w:r w:rsidRPr="00A232B0">
        <w:rPr>
          <w:rFonts w:ascii="Arial" w:hAnsi="Arial" w:cs="Arial"/>
          <w:sz w:val="24"/>
          <w:szCs w:val="24"/>
          <w:lang w:val="es-CO"/>
        </w:rPr>
        <w:t xml:space="preserve">espacho; </w:t>
      </w:r>
      <w:r w:rsidR="00C8530D" w:rsidRPr="00A232B0">
        <w:rPr>
          <w:rFonts w:ascii="Arial" w:hAnsi="Arial" w:cs="Arial"/>
          <w:sz w:val="24"/>
          <w:szCs w:val="24"/>
          <w:lang w:val="es-CO"/>
        </w:rPr>
        <w:t xml:space="preserve">como </w:t>
      </w:r>
      <w:r w:rsidRPr="00A232B0">
        <w:rPr>
          <w:rFonts w:ascii="Arial" w:hAnsi="Arial" w:cs="Arial"/>
          <w:sz w:val="24"/>
          <w:szCs w:val="24"/>
          <w:lang w:val="es-CO"/>
        </w:rPr>
        <w:t>tampoco ha habido ningún tipo d</w:t>
      </w:r>
      <w:r w:rsidR="00C8530D" w:rsidRPr="00A232B0">
        <w:rPr>
          <w:rFonts w:ascii="Arial" w:hAnsi="Arial" w:cs="Arial"/>
          <w:sz w:val="24"/>
          <w:szCs w:val="24"/>
          <w:lang w:val="es-CO"/>
        </w:rPr>
        <w:t>e impulso procesal</w:t>
      </w:r>
      <w:r w:rsidRPr="00A232B0">
        <w:rPr>
          <w:rFonts w:ascii="Arial" w:hAnsi="Arial" w:cs="Arial"/>
          <w:sz w:val="24"/>
          <w:szCs w:val="24"/>
          <w:lang w:val="es-CO"/>
        </w:rPr>
        <w:t>, para que el</w:t>
      </w:r>
      <w:r w:rsidR="00A232B0">
        <w:rPr>
          <w:rFonts w:ascii="Arial" w:hAnsi="Arial" w:cs="Arial"/>
          <w:sz w:val="24"/>
          <w:szCs w:val="24"/>
          <w:lang w:val="es-CO"/>
        </w:rPr>
        <w:t xml:space="preserve"> </w:t>
      </w:r>
      <w:r w:rsidRPr="00A232B0">
        <w:rPr>
          <w:rFonts w:ascii="Arial" w:hAnsi="Arial" w:cs="Arial"/>
          <w:sz w:val="24"/>
          <w:szCs w:val="24"/>
          <w:lang w:val="es-CO"/>
        </w:rPr>
        <w:t xml:space="preserve">proceso pueda desarrollarse y así avanzar de acuerdo al trámite establecido en la ley 1801 de 2016, operando </w:t>
      </w:r>
      <w:r w:rsidR="00C8530D" w:rsidRPr="00A232B0">
        <w:rPr>
          <w:rFonts w:ascii="Arial" w:hAnsi="Arial" w:cs="Arial"/>
          <w:sz w:val="24"/>
          <w:szCs w:val="24"/>
          <w:lang w:val="es-CO"/>
        </w:rPr>
        <w:t>entonces</w:t>
      </w:r>
      <w:r w:rsidRPr="00A232B0">
        <w:rPr>
          <w:rFonts w:ascii="Arial" w:hAnsi="Arial" w:cs="Arial"/>
          <w:sz w:val="24"/>
          <w:szCs w:val="24"/>
          <w:lang w:val="es-CO"/>
        </w:rPr>
        <w:t xml:space="preserve"> la caducidad de la acción procesal. </w:t>
      </w:r>
    </w:p>
    <w:p w:rsidR="00A232B0" w:rsidRPr="00A232B0" w:rsidRDefault="00A232B0" w:rsidP="00A232B0">
      <w:pPr>
        <w:pStyle w:val="Prrafodelista"/>
        <w:rPr>
          <w:rFonts w:ascii="Arial" w:hAnsi="Arial" w:cs="Arial"/>
          <w:sz w:val="24"/>
          <w:szCs w:val="24"/>
          <w:lang w:val="es-CO"/>
        </w:rPr>
      </w:pPr>
    </w:p>
    <w:p w:rsidR="00A232B0" w:rsidRDefault="00A232B0" w:rsidP="00A232B0">
      <w:pPr>
        <w:spacing w:after="0" w:line="240" w:lineRule="auto"/>
        <w:jc w:val="both"/>
        <w:rPr>
          <w:rFonts w:ascii="Arial" w:hAnsi="Arial" w:cs="Arial"/>
          <w:sz w:val="24"/>
          <w:szCs w:val="24"/>
          <w:lang w:val="es-CO"/>
        </w:rPr>
      </w:pPr>
    </w:p>
    <w:p w:rsidR="00A232B0" w:rsidRPr="00A232B0" w:rsidRDefault="00A232B0" w:rsidP="00A232B0">
      <w:pPr>
        <w:spacing w:after="0" w:line="240" w:lineRule="auto"/>
        <w:jc w:val="both"/>
        <w:rPr>
          <w:rFonts w:ascii="Arial" w:hAnsi="Arial" w:cs="Arial"/>
          <w:sz w:val="24"/>
          <w:szCs w:val="24"/>
          <w:lang w:val="es-CO"/>
        </w:rPr>
      </w:pP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96" w:rsidRDefault="00F20B96" w:rsidP="006B2A25">
      <w:r>
        <w:separator/>
      </w:r>
    </w:p>
  </w:endnote>
  <w:endnote w:type="continuationSeparator" w:id="0">
    <w:p w:rsidR="00F20B96" w:rsidRDefault="00F20B96"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96" w:rsidRDefault="00F20B96" w:rsidP="006B2A25">
      <w:r>
        <w:separator/>
      </w:r>
    </w:p>
  </w:footnote>
  <w:footnote w:type="continuationSeparator" w:id="0">
    <w:p w:rsidR="00F20B96" w:rsidRDefault="00F20B96"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F20B96">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F20B96">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13807"/>
    <w:rsid w:val="002251E1"/>
    <w:rsid w:val="0022578C"/>
    <w:rsid w:val="00247010"/>
    <w:rsid w:val="0024769D"/>
    <w:rsid w:val="00255C0B"/>
    <w:rsid w:val="00260A3D"/>
    <w:rsid w:val="00265ACA"/>
    <w:rsid w:val="002705CD"/>
    <w:rsid w:val="002869CA"/>
    <w:rsid w:val="002A1477"/>
    <w:rsid w:val="002B4EEF"/>
    <w:rsid w:val="002B5E15"/>
    <w:rsid w:val="002C377A"/>
    <w:rsid w:val="002D4DEF"/>
    <w:rsid w:val="002D5A03"/>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0262"/>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53918"/>
    <w:rsid w:val="00671AE2"/>
    <w:rsid w:val="00671DA8"/>
    <w:rsid w:val="00683F20"/>
    <w:rsid w:val="006A0FD6"/>
    <w:rsid w:val="006B0F32"/>
    <w:rsid w:val="006B2A25"/>
    <w:rsid w:val="006D51BD"/>
    <w:rsid w:val="006E076E"/>
    <w:rsid w:val="006E2FB6"/>
    <w:rsid w:val="00704278"/>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8D34B0"/>
    <w:rsid w:val="00914BF2"/>
    <w:rsid w:val="00941EF1"/>
    <w:rsid w:val="00952FA8"/>
    <w:rsid w:val="00982529"/>
    <w:rsid w:val="009825E4"/>
    <w:rsid w:val="009C222C"/>
    <w:rsid w:val="009D34BC"/>
    <w:rsid w:val="009E124E"/>
    <w:rsid w:val="009E20EB"/>
    <w:rsid w:val="009E7D02"/>
    <w:rsid w:val="00A040EA"/>
    <w:rsid w:val="00A15DA1"/>
    <w:rsid w:val="00A232B0"/>
    <w:rsid w:val="00A30C83"/>
    <w:rsid w:val="00A33CC2"/>
    <w:rsid w:val="00A735DE"/>
    <w:rsid w:val="00A81C2F"/>
    <w:rsid w:val="00A966EB"/>
    <w:rsid w:val="00AA45AB"/>
    <w:rsid w:val="00AB762D"/>
    <w:rsid w:val="00AC31F8"/>
    <w:rsid w:val="00AC383D"/>
    <w:rsid w:val="00AE2FFE"/>
    <w:rsid w:val="00B46B56"/>
    <w:rsid w:val="00B55260"/>
    <w:rsid w:val="00B65C1F"/>
    <w:rsid w:val="00B7264D"/>
    <w:rsid w:val="00B72EC8"/>
    <w:rsid w:val="00B81961"/>
    <w:rsid w:val="00BA39F1"/>
    <w:rsid w:val="00BA6F7D"/>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3015"/>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11283"/>
    <w:rsid w:val="00E2107B"/>
    <w:rsid w:val="00E31655"/>
    <w:rsid w:val="00E43033"/>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20B96"/>
    <w:rsid w:val="00F51BF9"/>
    <w:rsid w:val="00F525C5"/>
    <w:rsid w:val="00F57A62"/>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9D39-84EB-4AF5-8D14-D5106356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2526</TotalTime>
  <Pages>2</Pages>
  <Words>676</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35</cp:revision>
  <cp:lastPrinted>2024-05-15T15:28:00Z</cp:lastPrinted>
  <dcterms:created xsi:type="dcterms:W3CDTF">2024-01-11T20:50:00Z</dcterms:created>
  <dcterms:modified xsi:type="dcterms:W3CDTF">2024-05-15T19:42:00Z</dcterms:modified>
</cp:coreProperties>
</file>