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060385">
        <w:rPr>
          <w:rFonts w:ascii="Arial" w:hAnsi="Arial" w:cs="Arial"/>
          <w:b/>
          <w:sz w:val="24"/>
          <w:szCs w:val="24"/>
          <w:lang w:val="es-CO"/>
        </w:rPr>
        <w:t>9</w:t>
      </w:r>
      <w:r w:rsidR="00F0321E">
        <w:rPr>
          <w:rFonts w:ascii="Arial" w:hAnsi="Arial" w:cs="Arial"/>
          <w:b/>
          <w:sz w:val="24"/>
          <w:szCs w:val="24"/>
          <w:lang w:val="es-CO"/>
        </w:rPr>
        <w:t>5</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dieciséis</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7A3EAF">
        <w:rPr>
          <w:rFonts w:ascii="Arial" w:hAnsi="Arial" w:cs="Arial"/>
          <w:b/>
          <w:sz w:val="24"/>
          <w:szCs w:val="24"/>
          <w:lang w:val="es-CO"/>
        </w:rPr>
        <w:t>1</w:t>
      </w:r>
      <w:r w:rsidR="007F3D8D">
        <w:rPr>
          <w:rFonts w:ascii="Arial" w:hAnsi="Arial" w:cs="Arial"/>
          <w:b/>
          <w:sz w:val="24"/>
          <w:szCs w:val="24"/>
          <w:lang w:val="es-CO"/>
        </w:rPr>
        <w:t>7345</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7F3D8D">
        <w:rPr>
          <w:rFonts w:ascii="Arial" w:hAnsi="Arial" w:cs="Arial"/>
          <w:b/>
          <w:sz w:val="24"/>
          <w:szCs w:val="24"/>
          <w:lang w:val="es-CO"/>
        </w:rPr>
        <w:t>LUZ AMPARO GÓMEZ OCAMPO</w:t>
      </w:r>
      <w:r w:rsidR="00F525C5">
        <w:rPr>
          <w:rFonts w:ascii="Arial" w:hAnsi="Arial" w:cs="Arial"/>
          <w:b/>
          <w:sz w:val="24"/>
          <w:szCs w:val="24"/>
          <w:lang w:val="es-CO"/>
        </w:rPr>
        <w:tab/>
        <w:t xml:space="preserve"> </w:t>
      </w: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7F3D8D">
        <w:rPr>
          <w:rFonts w:ascii="Arial" w:hAnsi="Arial" w:cs="Arial"/>
          <w:b/>
          <w:sz w:val="24"/>
          <w:szCs w:val="24"/>
          <w:lang w:val="es-CO"/>
        </w:rPr>
        <w:t>43609401</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7F3D8D">
        <w:rPr>
          <w:rFonts w:ascii="Arial" w:hAnsi="Arial" w:cs="Arial"/>
          <w:b/>
          <w:sz w:val="24"/>
          <w:szCs w:val="24"/>
          <w:lang w:val="es-CO"/>
        </w:rPr>
        <w:t>lle 95ª 24C-90</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BE02E7" w:rsidRDefault="00E623AD" w:rsidP="00BE02E7">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7A3EAF">
        <w:rPr>
          <w:rFonts w:ascii="Arial" w:hAnsi="Arial" w:cs="Arial"/>
          <w:sz w:val="24"/>
          <w:szCs w:val="24"/>
          <w:lang w:val="es-CO"/>
        </w:rPr>
        <w:t>1</w:t>
      </w:r>
      <w:r w:rsidR="007F3D8D">
        <w:rPr>
          <w:rFonts w:ascii="Arial" w:hAnsi="Arial" w:cs="Arial"/>
          <w:sz w:val="24"/>
          <w:szCs w:val="24"/>
          <w:lang w:val="es-CO"/>
        </w:rPr>
        <w:t>7345</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026929">
        <w:rPr>
          <w:rFonts w:ascii="Arial" w:hAnsi="Arial" w:cs="Arial"/>
          <w:sz w:val="24"/>
          <w:szCs w:val="24"/>
          <w:lang w:val="es-CO"/>
        </w:rPr>
        <w:t xml:space="preserve">oficio </w:t>
      </w:r>
      <w:r w:rsidR="001D2AF9">
        <w:rPr>
          <w:rFonts w:ascii="Arial" w:hAnsi="Arial" w:cs="Arial"/>
          <w:sz w:val="24"/>
          <w:szCs w:val="24"/>
          <w:lang w:val="es-CO"/>
        </w:rPr>
        <w:t>queja de la comunidad</w:t>
      </w:r>
      <w:r w:rsidR="00060385">
        <w:rPr>
          <w:rFonts w:ascii="Arial" w:hAnsi="Arial" w:cs="Arial"/>
          <w:sz w:val="24"/>
          <w:szCs w:val="24"/>
          <w:lang w:val="es-CO"/>
        </w:rPr>
        <w:t xml:space="preserve"> de fecha </w:t>
      </w:r>
      <w:r w:rsidR="007A3EAF">
        <w:rPr>
          <w:rFonts w:ascii="Arial" w:hAnsi="Arial" w:cs="Arial"/>
          <w:sz w:val="24"/>
          <w:szCs w:val="24"/>
          <w:lang w:val="es-CO"/>
        </w:rPr>
        <w:t>julio</w:t>
      </w:r>
      <w:r w:rsidR="00060385">
        <w:rPr>
          <w:rFonts w:ascii="Arial" w:hAnsi="Arial" w:cs="Arial"/>
          <w:sz w:val="24"/>
          <w:szCs w:val="24"/>
          <w:lang w:val="es-CO"/>
        </w:rPr>
        <w:t xml:space="preserve"> </w:t>
      </w:r>
      <w:r w:rsidR="001D2AF9">
        <w:rPr>
          <w:rFonts w:ascii="Arial" w:hAnsi="Arial" w:cs="Arial"/>
          <w:sz w:val="24"/>
          <w:szCs w:val="24"/>
          <w:lang w:val="es-CO"/>
        </w:rPr>
        <w:t>23</w:t>
      </w:r>
      <w:r w:rsidR="00060385">
        <w:rPr>
          <w:rFonts w:ascii="Arial" w:hAnsi="Arial" w:cs="Arial"/>
          <w:sz w:val="24"/>
          <w:szCs w:val="24"/>
          <w:lang w:val="es-CO"/>
        </w:rPr>
        <w:t xml:space="preserve"> de 2020</w:t>
      </w:r>
      <w:r w:rsidR="00F525C5">
        <w:rPr>
          <w:rFonts w:ascii="Arial" w:hAnsi="Arial" w:cs="Arial"/>
          <w:sz w:val="24"/>
          <w:szCs w:val="24"/>
          <w:lang w:val="es-CO"/>
        </w:rPr>
        <w:t xml:space="preserve">, </w:t>
      </w:r>
      <w:r w:rsidR="001D246B">
        <w:rPr>
          <w:rFonts w:ascii="Arial" w:hAnsi="Arial" w:cs="Arial"/>
          <w:sz w:val="24"/>
          <w:szCs w:val="24"/>
          <w:lang w:val="es-CO"/>
        </w:rPr>
        <w:t>donde se da cuenta de una construcción en el inmueble ubicado en la ca</w:t>
      </w:r>
      <w:r w:rsidR="001D2AF9">
        <w:rPr>
          <w:rFonts w:ascii="Arial" w:hAnsi="Arial" w:cs="Arial"/>
          <w:sz w:val="24"/>
          <w:szCs w:val="24"/>
          <w:lang w:val="es-CO"/>
        </w:rPr>
        <w:t xml:space="preserve">lle </w:t>
      </w:r>
      <w:r w:rsidR="00026929">
        <w:rPr>
          <w:rFonts w:ascii="Arial" w:hAnsi="Arial" w:cs="Arial"/>
          <w:sz w:val="24"/>
          <w:szCs w:val="24"/>
          <w:lang w:val="es-CO"/>
        </w:rPr>
        <w:t>95ª 24C-90</w:t>
      </w:r>
      <w:r w:rsidR="007077BE">
        <w:rPr>
          <w:rFonts w:ascii="Arial" w:hAnsi="Arial" w:cs="Arial"/>
          <w:sz w:val="24"/>
          <w:szCs w:val="24"/>
          <w:lang w:val="es-CO"/>
        </w:rPr>
        <w:t>,</w:t>
      </w:r>
      <w:r w:rsidR="001D246B">
        <w:rPr>
          <w:rFonts w:ascii="Arial" w:hAnsi="Arial" w:cs="Arial"/>
          <w:sz w:val="24"/>
          <w:szCs w:val="24"/>
          <w:lang w:val="es-CO"/>
        </w:rPr>
        <w:t xml:space="preserve"> de propiedad de l</w:t>
      </w:r>
      <w:r w:rsidR="001D2AF9">
        <w:rPr>
          <w:rFonts w:ascii="Arial" w:hAnsi="Arial" w:cs="Arial"/>
          <w:sz w:val="24"/>
          <w:szCs w:val="24"/>
          <w:lang w:val="es-CO"/>
        </w:rPr>
        <w:t>a</w:t>
      </w:r>
      <w:r w:rsidR="001D246B">
        <w:rPr>
          <w:rFonts w:ascii="Arial" w:hAnsi="Arial" w:cs="Arial"/>
          <w:sz w:val="24"/>
          <w:szCs w:val="24"/>
          <w:lang w:val="es-CO"/>
        </w:rPr>
        <w:t xml:space="preserve"> </w:t>
      </w:r>
      <w:r w:rsidR="00AC383D">
        <w:rPr>
          <w:rFonts w:ascii="Arial" w:hAnsi="Arial" w:cs="Arial"/>
          <w:sz w:val="24"/>
          <w:szCs w:val="24"/>
          <w:lang w:val="es-CO"/>
        </w:rPr>
        <w:t>señor</w:t>
      </w:r>
      <w:r w:rsidR="001D2AF9">
        <w:rPr>
          <w:rFonts w:ascii="Arial" w:hAnsi="Arial" w:cs="Arial"/>
          <w:sz w:val="24"/>
          <w:szCs w:val="24"/>
          <w:lang w:val="es-CO"/>
        </w:rPr>
        <w:t>a</w:t>
      </w:r>
      <w:r w:rsidR="007077BE">
        <w:rPr>
          <w:rFonts w:ascii="Arial" w:hAnsi="Arial" w:cs="Arial"/>
          <w:sz w:val="24"/>
          <w:szCs w:val="24"/>
          <w:lang w:val="es-CO"/>
        </w:rPr>
        <w:t xml:space="preserve"> </w:t>
      </w:r>
      <w:r w:rsidR="00026929">
        <w:rPr>
          <w:rFonts w:ascii="Arial" w:hAnsi="Arial" w:cs="Arial"/>
          <w:sz w:val="24"/>
          <w:szCs w:val="24"/>
          <w:lang w:val="es-CO"/>
        </w:rPr>
        <w:t>Luz Amparo Gómez Ocampo</w:t>
      </w:r>
      <w:r w:rsidR="004A1579" w:rsidRPr="00BE02E7">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026929">
        <w:rPr>
          <w:rFonts w:ascii="Arial" w:hAnsi="Arial" w:cs="Arial"/>
          <w:sz w:val="24"/>
          <w:szCs w:val="24"/>
          <w:lang w:val="es-CO"/>
        </w:rPr>
        <w:t>ocho</w:t>
      </w:r>
      <w:r w:rsidR="00BE02E7" w:rsidRPr="00BE02E7">
        <w:rPr>
          <w:rFonts w:ascii="Arial" w:hAnsi="Arial" w:cs="Arial"/>
          <w:sz w:val="24"/>
          <w:szCs w:val="24"/>
          <w:lang w:val="es-CO"/>
        </w:rPr>
        <w:t xml:space="preserve"> </w:t>
      </w:r>
      <w:r w:rsidR="00E623AD" w:rsidRPr="00BE02E7">
        <w:rPr>
          <w:rFonts w:ascii="Arial" w:hAnsi="Arial" w:cs="Arial"/>
          <w:sz w:val="24"/>
          <w:szCs w:val="24"/>
          <w:lang w:val="es-CO"/>
        </w:rPr>
        <w:t>(</w:t>
      </w:r>
      <w:r w:rsidR="001D2AF9">
        <w:rPr>
          <w:rFonts w:ascii="Arial" w:hAnsi="Arial" w:cs="Arial"/>
          <w:sz w:val="24"/>
          <w:szCs w:val="24"/>
          <w:lang w:val="es-CO"/>
        </w:rPr>
        <w:t>0</w:t>
      </w:r>
      <w:r w:rsidR="00026929">
        <w:rPr>
          <w:rFonts w:ascii="Arial" w:hAnsi="Arial" w:cs="Arial"/>
          <w:sz w:val="24"/>
          <w:szCs w:val="24"/>
          <w:lang w:val="es-CO"/>
        </w:rPr>
        <w:t>8</w:t>
      </w:r>
      <w:r w:rsidR="00E623AD" w:rsidRPr="00BE02E7">
        <w:rPr>
          <w:rFonts w:ascii="Arial" w:hAnsi="Arial" w:cs="Arial"/>
          <w:sz w:val="24"/>
          <w:szCs w:val="24"/>
          <w:lang w:val="es-CO"/>
        </w:rPr>
        <w:t xml:space="preserve">) de </w:t>
      </w:r>
      <w:r w:rsidR="001D2AF9">
        <w:rPr>
          <w:rFonts w:ascii="Arial" w:hAnsi="Arial" w:cs="Arial"/>
          <w:sz w:val="24"/>
          <w:szCs w:val="24"/>
          <w:lang w:val="es-CO"/>
        </w:rPr>
        <w:t>julio</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C110C3">
        <w:rPr>
          <w:rFonts w:ascii="Arial" w:hAnsi="Arial" w:cs="Arial"/>
          <w:sz w:val="24"/>
          <w:szCs w:val="24"/>
          <w:lang w:val="es-CO"/>
        </w:rPr>
        <w:t>e</w:t>
      </w:r>
      <w:r w:rsidR="00E623AD" w:rsidRPr="00BE02E7">
        <w:rPr>
          <w:rFonts w:ascii="Arial" w:hAnsi="Arial" w:cs="Arial"/>
          <w:sz w:val="24"/>
          <w:szCs w:val="24"/>
          <w:lang w:val="es-CO"/>
        </w:rPr>
        <w:t xml:space="preserve"> (20</w:t>
      </w:r>
      <w:r w:rsidRPr="00BE02E7">
        <w:rPr>
          <w:rFonts w:ascii="Arial" w:hAnsi="Arial" w:cs="Arial"/>
          <w:sz w:val="24"/>
          <w:szCs w:val="24"/>
          <w:lang w:val="es-CO"/>
        </w:rPr>
        <w:t>2</w:t>
      </w:r>
      <w:r w:rsidR="00C110C3">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7A3EAF">
        <w:rPr>
          <w:rFonts w:ascii="Arial" w:hAnsi="Arial" w:cs="Arial"/>
          <w:sz w:val="24"/>
          <w:szCs w:val="24"/>
          <w:lang w:val="es-CO"/>
        </w:rPr>
        <w:t>1</w:t>
      </w:r>
      <w:r w:rsidR="00026929">
        <w:rPr>
          <w:rFonts w:ascii="Arial" w:hAnsi="Arial" w:cs="Arial"/>
          <w:sz w:val="24"/>
          <w:szCs w:val="24"/>
          <w:lang w:val="es-CO"/>
        </w:rPr>
        <w:t>5</w:t>
      </w:r>
      <w:r w:rsidR="001D246B">
        <w:rPr>
          <w:rFonts w:ascii="Arial" w:hAnsi="Arial" w:cs="Arial"/>
          <w:sz w:val="24"/>
          <w:szCs w:val="24"/>
          <w:lang w:val="es-CO"/>
        </w:rPr>
        <w:t xml:space="preserve"> de </w:t>
      </w:r>
      <w:r w:rsidR="00026929">
        <w:rPr>
          <w:rFonts w:ascii="Arial" w:hAnsi="Arial" w:cs="Arial"/>
          <w:sz w:val="24"/>
          <w:szCs w:val="24"/>
          <w:lang w:val="es-CO"/>
        </w:rPr>
        <w:t>octubre</w:t>
      </w:r>
      <w:r w:rsidR="001D246B">
        <w:rPr>
          <w:rFonts w:ascii="Arial" w:hAnsi="Arial" w:cs="Arial"/>
          <w:sz w:val="24"/>
          <w:szCs w:val="24"/>
          <w:lang w:val="es-CO"/>
        </w:rPr>
        <w:t xml:space="preserve"> de 202</w:t>
      </w:r>
      <w:r w:rsidR="00026929">
        <w:rPr>
          <w:rFonts w:ascii="Arial" w:hAnsi="Arial" w:cs="Arial"/>
          <w:sz w:val="24"/>
          <w:szCs w:val="24"/>
          <w:lang w:val="es-CO"/>
        </w:rPr>
        <w:t>0</w:t>
      </w:r>
      <w:r w:rsidR="007077BE">
        <w:rPr>
          <w:rFonts w:ascii="Arial" w:hAnsi="Arial" w:cs="Arial"/>
          <w:sz w:val="24"/>
          <w:szCs w:val="24"/>
          <w:lang w:val="es-CO"/>
        </w:rPr>
        <w:t>,</w:t>
      </w:r>
      <w:r w:rsidR="001D246B">
        <w:rPr>
          <w:rFonts w:ascii="Arial" w:hAnsi="Arial" w:cs="Arial"/>
          <w:sz w:val="24"/>
          <w:szCs w:val="24"/>
          <w:lang w:val="es-CO"/>
        </w:rPr>
        <w:t xml:space="preserve"> a las </w:t>
      </w:r>
      <w:r w:rsidR="001D2AF9">
        <w:rPr>
          <w:rFonts w:ascii="Arial" w:hAnsi="Arial" w:cs="Arial"/>
          <w:sz w:val="24"/>
          <w:szCs w:val="24"/>
          <w:lang w:val="es-CO"/>
        </w:rPr>
        <w:t>10</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w:t>
      </w:r>
      <w:r w:rsidR="00026929">
        <w:rPr>
          <w:rFonts w:ascii="Arial" w:hAnsi="Arial" w:cs="Arial"/>
          <w:sz w:val="24"/>
          <w:szCs w:val="24"/>
          <w:lang w:val="es-CO"/>
        </w:rPr>
        <w:t>6</w:t>
      </w:r>
      <w:bookmarkStart w:id="0" w:name="_GoBack"/>
      <w:bookmarkEnd w:id="0"/>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453F3E" w:rsidRDefault="00453F3E"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BC" w:rsidRDefault="00C609BC" w:rsidP="006B2A25">
      <w:r>
        <w:separator/>
      </w:r>
    </w:p>
  </w:endnote>
  <w:endnote w:type="continuationSeparator" w:id="0">
    <w:p w:rsidR="00C609BC" w:rsidRDefault="00C609BC"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BC" w:rsidRDefault="00C609BC" w:rsidP="006B2A25">
      <w:r>
        <w:separator/>
      </w:r>
    </w:p>
  </w:footnote>
  <w:footnote w:type="continuationSeparator" w:id="0">
    <w:p w:rsidR="00C609BC" w:rsidRDefault="00C609BC"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C609BC">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C609BC">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7A66"/>
    <w:rsid w:val="000B6733"/>
    <w:rsid w:val="000C479D"/>
    <w:rsid w:val="000C7FE4"/>
    <w:rsid w:val="000E13E9"/>
    <w:rsid w:val="000F1B08"/>
    <w:rsid w:val="000F264B"/>
    <w:rsid w:val="001009DE"/>
    <w:rsid w:val="0011163D"/>
    <w:rsid w:val="001169E8"/>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47010"/>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4741"/>
    <w:rsid w:val="007077BE"/>
    <w:rsid w:val="0071430D"/>
    <w:rsid w:val="00724750"/>
    <w:rsid w:val="00727588"/>
    <w:rsid w:val="00733095"/>
    <w:rsid w:val="00742778"/>
    <w:rsid w:val="00754722"/>
    <w:rsid w:val="00760770"/>
    <w:rsid w:val="007641D5"/>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9BC"/>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803A4"/>
    <w:rsid w:val="00F83154"/>
    <w:rsid w:val="00F92B59"/>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07AC-45C5-4469-879D-549078BF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2128</TotalTime>
  <Pages>2</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20</cp:revision>
  <cp:lastPrinted>2024-05-08T17:01:00Z</cp:lastPrinted>
  <dcterms:created xsi:type="dcterms:W3CDTF">2024-01-11T20:50:00Z</dcterms:created>
  <dcterms:modified xsi:type="dcterms:W3CDTF">2024-05-08T17:01:00Z</dcterms:modified>
</cp:coreProperties>
</file>